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9610B">
      <w:pPr>
        <w:widowControl/>
        <w:spacing w:line="360" w:lineRule="auto"/>
        <w:jc w:val="center"/>
        <w:rPr>
          <w:rFonts w:ascii="黑体" w:hAnsi="黑体" w:eastAsia="黑体" w:cs="宋体"/>
          <w:b/>
          <w:bCs/>
          <w:color w:val="000000" w:themeColor="text1"/>
          <w:sz w:val="44"/>
          <w:szCs w:val="44"/>
          <w:lang w:val="zh-TW" w:bidi="zh-TW"/>
          <w14:textFill>
            <w14:solidFill>
              <w14:schemeClr w14:val="tx1"/>
            </w14:solidFill>
          </w14:textFill>
        </w:rPr>
      </w:pPr>
      <w:r>
        <w:rPr>
          <w:rFonts w:hint="eastAsia" w:ascii="黑体" w:hAnsi="黑体" w:eastAsia="黑体" w:cs="宋体"/>
          <w:b/>
          <w:bCs/>
          <w:color w:val="000000" w:themeColor="text1"/>
          <w:sz w:val="44"/>
          <w:szCs w:val="44"/>
          <w:lang w:val="zh-TW" w:bidi="zh-TW"/>
          <w14:textFill>
            <w14:solidFill>
              <w14:schemeClr w14:val="tx1"/>
            </w14:solidFill>
          </w14:textFill>
        </w:rPr>
        <w:t>附录</w:t>
      </w:r>
      <w:r>
        <w:rPr>
          <w:rFonts w:hint="eastAsia" w:ascii="黑体" w:hAnsi="黑体" w:eastAsia="黑体" w:cs="宋体"/>
          <w:b/>
          <w:bCs/>
          <w:color w:val="000000" w:themeColor="text1"/>
          <w:sz w:val="44"/>
          <w:szCs w:val="44"/>
          <w:lang w:bidi="zh-TW"/>
          <w14:textFill>
            <w14:solidFill>
              <w14:schemeClr w14:val="tx1"/>
            </w14:solidFill>
          </w14:textFill>
        </w:rPr>
        <w:t xml:space="preserve">2 </w:t>
      </w:r>
      <w:r>
        <w:rPr>
          <w:rFonts w:hint="eastAsia" w:ascii="黑体" w:hAnsi="黑体" w:eastAsia="黑体" w:cs="宋体"/>
          <w:b/>
          <w:bCs/>
          <w:color w:val="000000" w:themeColor="text1"/>
          <w:sz w:val="44"/>
          <w:szCs w:val="44"/>
          <w:lang w:val="zh-TW" w:bidi="zh-TW"/>
          <w14:textFill>
            <w14:solidFill>
              <w14:schemeClr w14:val="tx1"/>
            </w14:solidFill>
          </w14:textFill>
        </w:rPr>
        <w:t>液氮储罐事故现场处置方案</w:t>
      </w:r>
    </w:p>
    <w:p w14:paraId="71C0555B">
      <w:pPr>
        <w:widowControl/>
        <w:spacing w:line="360" w:lineRule="auto"/>
        <w:jc w:val="center"/>
        <w:rPr>
          <w:rFonts w:ascii="黑体" w:hAnsi="黑体" w:eastAsia="黑体" w:cs="宋体"/>
          <w:b/>
          <w:bCs/>
          <w:color w:val="000000" w:themeColor="text1"/>
          <w:sz w:val="44"/>
          <w:szCs w:val="44"/>
          <w:lang w:bidi="zh-TW"/>
          <w14:textFill>
            <w14:solidFill>
              <w14:schemeClr w14:val="tx1"/>
            </w14:solidFill>
          </w14:textFill>
        </w:rPr>
      </w:pPr>
    </w:p>
    <w:p w14:paraId="61452A0E">
      <w:pPr>
        <w:widowControl/>
        <w:numPr>
          <w:ilvl w:val="0"/>
          <w:numId w:val="1"/>
        </w:numPr>
        <w:spacing w:line="360" w:lineRule="auto"/>
        <w:ind w:left="0" w:firstLine="0"/>
        <w:jc w:val="left"/>
        <w:rPr>
          <w:rFonts w:eastAsia="黑体"/>
          <w:b/>
          <w:bCs/>
          <w:color w:val="000000" w:themeColor="text1"/>
          <w:sz w:val="32"/>
          <w:szCs w:val="32"/>
          <w:lang w:bidi="ar"/>
          <w14:textFill>
            <w14:solidFill>
              <w14:schemeClr w14:val="tx1"/>
            </w14:solidFill>
          </w14:textFill>
        </w:rPr>
      </w:pPr>
      <w:r>
        <w:rPr>
          <w:rFonts w:hint="eastAsia" w:eastAsia="黑体"/>
          <w:b/>
          <w:bCs/>
          <w:color w:val="000000" w:themeColor="text1"/>
          <w:sz w:val="32"/>
          <w:szCs w:val="32"/>
          <w:lang w:bidi="ar"/>
          <w14:textFill>
            <w14:solidFill>
              <w14:schemeClr w14:val="tx1"/>
            </w14:solidFill>
          </w14:textFill>
        </w:rPr>
        <w:t>事故风险描述</w:t>
      </w:r>
    </w:p>
    <w:p w14:paraId="6E419FDE">
      <w:pPr>
        <w:widowControl/>
        <w:spacing w:line="360" w:lineRule="auto"/>
        <w:ind w:firstLine="640" w:firstLineChars="200"/>
        <w:rPr>
          <w:rFonts w:ascii="仿宋" w:hAnsi="仿宋" w:eastAsia="仿宋" w:cs="宋体"/>
          <w:color w:val="000000" w:themeColor="text1"/>
          <w:sz w:val="32"/>
          <w:szCs w:val="32"/>
          <w14:textFill>
            <w14:solidFill>
              <w14:schemeClr w14:val="tx1"/>
            </w14:solidFill>
          </w14:textFill>
        </w:rPr>
      </w:pPr>
      <w:r>
        <w:rPr>
          <w:rFonts w:ascii="仿宋" w:hAnsi="仿宋" w:eastAsia="仿宋" w:cs="宋体"/>
          <w:color w:val="000000" w:themeColor="text1"/>
          <w:sz w:val="32"/>
          <w:szCs w:val="32"/>
          <w14:textFill>
            <w14:solidFill>
              <w14:schemeClr w14:val="tx1"/>
            </w14:solidFill>
          </w14:textFill>
        </w:rPr>
        <w:t>实验核心区液氮机房</w:t>
      </w:r>
      <w:r>
        <w:rPr>
          <w:rFonts w:hint="eastAsia" w:ascii="仿宋" w:hAnsi="仿宋" w:eastAsia="仿宋" w:cs="宋体"/>
          <w:color w:val="000000" w:themeColor="text1"/>
          <w:sz w:val="32"/>
          <w:szCs w:val="32"/>
          <w14:textFill>
            <w14:solidFill>
              <w14:schemeClr w14:val="tx1"/>
            </w14:solidFill>
          </w14:textFill>
        </w:rPr>
        <w:t>内</w:t>
      </w:r>
      <w:r>
        <w:rPr>
          <w:rFonts w:ascii="仿宋" w:hAnsi="仿宋" w:eastAsia="仿宋" w:cs="宋体"/>
          <w:color w:val="000000" w:themeColor="text1"/>
          <w:sz w:val="32"/>
          <w:szCs w:val="32"/>
          <w14:textFill>
            <w14:solidFill>
              <w14:schemeClr w14:val="tx1"/>
            </w14:solidFill>
          </w14:textFill>
        </w:rPr>
        <w:t>设</w:t>
      </w:r>
      <w:r>
        <w:rPr>
          <w:rFonts w:hint="eastAsia" w:ascii="仿宋" w:hAnsi="仿宋" w:eastAsia="仿宋" w:cs="宋体"/>
          <w:color w:val="000000" w:themeColor="text1"/>
          <w:sz w:val="32"/>
          <w:szCs w:val="32"/>
          <w14:textFill>
            <w14:solidFill>
              <w14:schemeClr w14:val="tx1"/>
            </w14:solidFill>
          </w14:textFill>
        </w:rPr>
        <w:t>有</w:t>
      </w:r>
      <w:r>
        <w:rPr>
          <w:rFonts w:ascii="仿宋" w:hAnsi="仿宋" w:eastAsia="仿宋" w:cs="宋体"/>
          <w:color w:val="000000" w:themeColor="text1"/>
          <w:sz w:val="32"/>
          <w:szCs w:val="32"/>
          <w14:textFill>
            <w14:solidFill>
              <w14:schemeClr w14:val="tx1"/>
            </w14:solidFill>
          </w14:textFill>
        </w:rPr>
        <w:t>液氮储罐，为实验室提供</w:t>
      </w:r>
      <w:r>
        <w:rPr>
          <w:rFonts w:hint="eastAsia" w:ascii="仿宋" w:hAnsi="仿宋" w:eastAsia="仿宋" w:cs="宋体"/>
          <w:color w:val="000000" w:themeColor="text1"/>
          <w:sz w:val="32"/>
          <w:szCs w:val="32"/>
          <w14:textFill>
            <w14:solidFill>
              <w14:schemeClr w14:val="tx1"/>
            </w14:solidFill>
          </w14:textFill>
        </w:rPr>
        <w:t>液氮/氮气</w:t>
      </w:r>
      <w:r>
        <w:rPr>
          <w:rFonts w:ascii="仿宋" w:hAnsi="仿宋" w:eastAsia="仿宋" w:cs="宋体"/>
          <w:color w:val="000000" w:themeColor="text1"/>
          <w:sz w:val="32"/>
          <w:szCs w:val="32"/>
          <w14:textFill>
            <w14:solidFill>
              <w14:schemeClr w14:val="tx1"/>
            </w14:solidFill>
          </w14:textFill>
        </w:rPr>
        <w:t>，储罐、输送管道、阀门、压力表、安全阀等配套设施长期处于低温运行状态，存在安全风险</w:t>
      </w:r>
      <w:r>
        <w:rPr>
          <w:rFonts w:hint="eastAsia" w:ascii="仿宋" w:hAnsi="仿宋" w:eastAsia="仿宋" w:cs="宋体"/>
          <w:color w:val="000000" w:themeColor="text1"/>
          <w:sz w:val="32"/>
          <w:szCs w:val="32"/>
          <w14:textFill>
            <w14:solidFill>
              <w14:schemeClr w14:val="tx1"/>
            </w14:solidFill>
          </w14:textFill>
        </w:rPr>
        <w:t>。</w:t>
      </w:r>
      <w:r>
        <w:rPr>
          <w:rFonts w:ascii="仿宋" w:hAnsi="仿宋" w:eastAsia="仿宋" w:cs="宋体"/>
          <w:color w:val="000000" w:themeColor="text1"/>
          <w:sz w:val="32"/>
          <w:szCs w:val="32"/>
          <w14:textFill>
            <w14:solidFill>
              <w14:schemeClr w14:val="tx1"/>
            </w14:solidFill>
          </w14:textFill>
        </w:rPr>
        <w:t>液氮泄漏</w:t>
      </w:r>
      <w:r>
        <w:rPr>
          <w:rFonts w:hint="eastAsia" w:ascii="仿宋" w:hAnsi="仿宋" w:eastAsia="仿宋" w:cs="宋体"/>
          <w:color w:val="000000" w:themeColor="text1"/>
          <w:sz w:val="32"/>
          <w:szCs w:val="32"/>
          <w14:textFill>
            <w14:solidFill>
              <w14:schemeClr w14:val="tx1"/>
            </w14:solidFill>
          </w14:textFill>
        </w:rPr>
        <w:t>容易造成人员</w:t>
      </w:r>
      <w:r>
        <w:rPr>
          <w:rFonts w:ascii="仿宋" w:hAnsi="仿宋" w:eastAsia="仿宋" w:cs="宋体"/>
          <w:color w:val="000000" w:themeColor="text1"/>
          <w:sz w:val="32"/>
          <w:szCs w:val="32"/>
          <w14:textFill>
            <w14:solidFill>
              <w14:schemeClr w14:val="tx1"/>
            </w14:solidFill>
          </w14:textFill>
        </w:rPr>
        <w:t>低温冻伤</w:t>
      </w:r>
      <w:r>
        <w:rPr>
          <w:rFonts w:hint="eastAsia" w:ascii="仿宋" w:hAnsi="仿宋" w:eastAsia="仿宋" w:cs="宋体"/>
          <w:color w:val="000000" w:themeColor="text1"/>
          <w:sz w:val="32"/>
          <w:szCs w:val="32"/>
          <w14:textFill>
            <w14:solidFill>
              <w14:schemeClr w14:val="tx1"/>
            </w14:solidFill>
          </w14:textFill>
        </w:rPr>
        <w:t>、</w:t>
      </w:r>
      <w:r>
        <w:rPr>
          <w:rFonts w:ascii="仿宋" w:hAnsi="仿宋" w:eastAsia="仿宋" w:cs="宋体"/>
          <w:color w:val="000000" w:themeColor="text1"/>
          <w:sz w:val="32"/>
          <w:szCs w:val="32"/>
          <w14:textFill>
            <w14:solidFill>
              <w14:schemeClr w14:val="tx1"/>
            </w14:solidFill>
          </w14:textFill>
        </w:rPr>
        <w:t>缺氧窒息</w:t>
      </w:r>
      <w:r>
        <w:rPr>
          <w:rFonts w:hint="eastAsia" w:ascii="仿宋" w:hAnsi="仿宋" w:eastAsia="仿宋" w:cs="宋体"/>
          <w:color w:val="000000" w:themeColor="text1"/>
          <w:sz w:val="32"/>
          <w:szCs w:val="32"/>
          <w14:textFill>
            <w14:solidFill>
              <w14:schemeClr w14:val="tx1"/>
            </w14:solidFill>
          </w14:textFill>
        </w:rPr>
        <w:t>；</w:t>
      </w:r>
      <w:r>
        <w:rPr>
          <w:rFonts w:ascii="仿宋" w:hAnsi="仿宋" w:eastAsia="仿宋" w:cs="宋体"/>
          <w:color w:val="000000" w:themeColor="text1"/>
          <w:sz w:val="32"/>
          <w:szCs w:val="32"/>
          <w14:textFill>
            <w14:solidFill>
              <w14:schemeClr w14:val="tx1"/>
            </w14:solidFill>
          </w14:textFill>
        </w:rPr>
        <w:t>安全附件（如安全阀、压力表）失效、放空管路堵塞、充液过量、环境温度异常升高，存在罐体超压甚至罐体变形爆裂风险</w:t>
      </w:r>
      <w:r>
        <w:rPr>
          <w:rFonts w:hint="eastAsia" w:ascii="仿宋" w:hAnsi="仿宋" w:eastAsia="仿宋" w:cs="宋体"/>
          <w:color w:val="000000" w:themeColor="text1"/>
          <w:sz w:val="32"/>
          <w:szCs w:val="32"/>
          <w14:textFill>
            <w14:solidFill>
              <w14:schemeClr w14:val="tx1"/>
            </w14:solidFill>
          </w14:textFill>
        </w:rPr>
        <w:t>。</w:t>
      </w:r>
    </w:p>
    <w:p w14:paraId="1B908A8B">
      <w:pPr>
        <w:widowControl/>
        <w:spacing w:line="360" w:lineRule="auto"/>
        <w:rPr>
          <w:rFonts w:ascii="仿宋" w:hAnsi="仿宋" w:eastAsia="仿宋" w:cs="宋体"/>
          <w:color w:val="000000" w:themeColor="text1"/>
          <w:sz w:val="32"/>
          <w:szCs w:val="32"/>
          <w:lang w:val="zh-TW"/>
          <w14:textFill>
            <w14:solidFill>
              <w14:schemeClr w14:val="tx1"/>
            </w14:solidFill>
          </w14:textFill>
        </w:rPr>
      </w:pPr>
      <w:bookmarkStart w:id="1" w:name="_GoBack"/>
      <w:bookmarkEnd w:id="1"/>
    </w:p>
    <w:p w14:paraId="0361E63F">
      <w:pPr>
        <w:widowControl/>
        <w:numPr>
          <w:ilvl w:val="0"/>
          <w:numId w:val="1"/>
        </w:numPr>
        <w:spacing w:line="360" w:lineRule="auto"/>
        <w:ind w:left="0" w:firstLine="0"/>
        <w:jc w:val="left"/>
        <w:rPr>
          <w:rFonts w:eastAsia="黑体"/>
          <w:b/>
          <w:bCs/>
          <w:color w:val="000000" w:themeColor="text1"/>
          <w:sz w:val="32"/>
          <w:szCs w:val="32"/>
          <w:lang w:bidi="ar"/>
          <w14:textFill>
            <w14:solidFill>
              <w14:schemeClr w14:val="tx1"/>
            </w14:solidFill>
          </w14:textFill>
        </w:rPr>
      </w:pPr>
      <w:bookmarkStart w:id="0" w:name="OLE_LINK25"/>
      <w:r>
        <w:rPr>
          <w:rFonts w:hint="eastAsia" w:eastAsia="黑体"/>
          <w:b/>
          <w:bCs/>
          <w:color w:val="000000" w:themeColor="text1"/>
          <w:sz w:val="32"/>
          <w:szCs w:val="32"/>
          <w:lang w:bidi="ar"/>
          <w14:textFill>
            <w14:solidFill>
              <w14:schemeClr w14:val="tx1"/>
            </w14:solidFill>
          </w14:textFill>
        </w:rPr>
        <w:t>应急工作职责</w:t>
      </w:r>
    </w:p>
    <w:bookmarkEnd w:id="0"/>
    <w:p w14:paraId="5DCAAEC4">
      <w:pPr>
        <w:pStyle w:val="32"/>
        <w:widowControl/>
        <w:numPr>
          <w:ilvl w:val="0"/>
          <w:numId w:val="2"/>
        </w:numPr>
        <w:spacing w:line="360" w:lineRule="auto"/>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现场指挥</w:t>
      </w:r>
    </w:p>
    <w:p w14:paraId="439F71AA">
      <w:pPr>
        <w:pStyle w:val="32"/>
        <w:widowControl/>
        <w:spacing w:line="360" w:lineRule="auto"/>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工作任务及职责：负责现场应急处置的指挥、决策，向上汇报险情，并传达指令。</w:t>
      </w:r>
    </w:p>
    <w:p w14:paraId="56D86624">
      <w:pPr>
        <w:pStyle w:val="32"/>
        <w:widowControl/>
        <w:numPr>
          <w:ilvl w:val="0"/>
          <w:numId w:val="2"/>
        </w:numPr>
        <w:spacing w:line="360" w:lineRule="auto"/>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应急工作组</w:t>
      </w:r>
    </w:p>
    <w:p w14:paraId="46D355AF">
      <w:pPr>
        <w:pStyle w:val="32"/>
        <w:widowControl/>
        <w:spacing w:line="360" w:lineRule="auto"/>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根据实际需要迅速开展现场处置、通讯联络、疏散警戒、应急救援及后勤保障等各项工作。应急工作组成员与具体职责参考《</w:t>
      </w:r>
      <w:r>
        <w:rPr>
          <w:rFonts w:ascii="仿宋" w:hAnsi="仿宋" w:eastAsia="仿宋" w:cs="宋体"/>
          <w:color w:val="000000" w:themeColor="text1"/>
          <w:sz w:val="32"/>
          <w:szCs w:val="32"/>
          <w:lang w:val="zh-TW"/>
          <w14:textFill>
            <w14:solidFill>
              <w14:schemeClr w14:val="tx1"/>
            </w14:solidFill>
          </w14:textFill>
        </w:rPr>
        <w:t>香港科技大学（广州）实验室特种设备专项应急预案</w:t>
      </w:r>
      <w:r>
        <w:rPr>
          <w:rFonts w:hint="eastAsia" w:ascii="仿宋" w:hAnsi="仿宋" w:eastAsia="仿宋" w:cs="宋体"/>
          <w:color w:val="000000" w:themeColor="text1"/>
          <w:sz w:val="32"/>
          <w:szCs w:val="32"/>
          <w:lang w:val="zh-TW"/>
          <w14:textFill>
            <w14:solidFill>
              <w14:schemeClr w14:val="tx1"/>
            </w14:solidFill>
          </w14:textFill>
        </w:rPr>
        <w:t>》的内容。</w:t>
      </w:r>
    </w:p>
    <w:p w14:paraId="348AF5EA">
      <w:pPr>
        <w:pStyle w:val="32"/>
        <w:widowControl/>
        <w:numPr>
          <w:ilvl w:val="0"/>
          <w:numId w:val="2"/>
        </w:numPr>
        <w:spacing w:line="360" w:lineRule="auto"/>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事发现场人员</w:t>
      </w:r>
    </w:p>
    <w:p w14:paraId="5208D598">
      <w:pPr>
        <w:pStyle w:val="32"/>
        <w:widowControl/>
        <w:spacing w:line="360" w:lineRule="auto"/>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根据响应等级进行现场处置或协助应急工作组进行应急救援。</w:t>
      </w:r>
    </w:p>
    <w:p w14:paraId="2A2ED243">
      <w:pPr>
        <w:widowControl/>
        <w:numPr>
          <w:ilvl w:val="0"/>
          <w:numId w:val="1"/>
        </w:numPr>
        <w:spacing w:line="360" w:lineRule="auto"/>
        <w:ind w:left="0" w:firstLine="0"/>
        <w:jc w:val="left"/>
        <w:rPr>
          <w:rFonts w:eastAsia="黑体"/>
          <w:b/>
          <w:bCs/>
          <w:color w:val="000000" w:themeColor="text1"/>
          <w:sz w:val="32"/>
          <w:szCs w:val="32"/>
          <w:lang w:bidi="ar"/>
          <w14:textFill>
            <w14:solidFill>
              <w14:schemeClr w14:val="tx1"/>
            </w14:solidFill>
          </w14:textFill>
        </w:rPr>
      </w:pPr>
      <w:r>
        <w:rPr>
          <w:rFonts w:hint="eastAsia" w:eastAsia="黑体"/>
          <w:b/>
          <w:bCs/>
          <w:color w:val="000000" w:themeColor="text1"/>
          <w:sz w:val="32"/>
          <w:szCs w:val="32"/>
          <w:lang w:bidi="ar"/>
          <w14:textFill>
            <w14:solidFill>
              <w14:schemeClr w14:val="tx1"/>
            </w14:solidFill>
          </w14:textFill>
        </w:rPr>
        <w:t>应急处置</w:t>
      </w:r>
    </w:p>
    <w:p w14:paraId="4C48A0DC">
      <w:pPr>
        <w:widowControl/>
        <w:spacing w:line="360" w:lineRule="auto"/>
        <w:jc w:val="left"/>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（一）一级响应</w:t>
      </w:r>
    </w:p>
    <w:p w14:paraId="7583F8A9">
      <w:pPr>
        <w:numPr>
          <w:ilvl w:val="0"/>
          <w:numId w:val="3"/>
        </w:numPr>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事发现场人员应警示</w:t>
      </w:r>
      <w:r>
        <w:rPr>
          <w:rFonts w:hint="eastAsia" w:ascii="仿宋" w:hAnsi="仿宋" w:eastAsia="仿宋" w:cs="宋体"/>
          <w:color w:val="000000" w:themeColor="text1"/>
          <w:sz w:val="32"/>
          <w:szCs w:val="32"/>
          <w:lang w:val="zh-TW"/>
          <w14:textFill>
            <w14:solidFill>
              <w14:schemeClr w14:val="tx1"/>
            </w14:solidFill>
          </w14:textFill>
        </w:rPr>
        <w:t>机房及周边区域</w:t>
      </w:r>
      <w:r>
        <w:rPr>
          <w:rFonts w:ascii="仿宋" w:hAnsi="仿宋" w:eastAsia="仿宋" w:cs="宋体"/>
          <w:color w:val="000000" w:themeColor="text1"/>
          <w:sz w:val="32"/>
          <w:szCs w:val="32"/>
          <w:lang w:val="zh-TW"/>
          <w14:textFill>
            <w14:solidFill>
              <w14:schemeClr w14:val="tx1"/>
            </w14:solidFill>
          </w14:textFill>
        </w:rPr>
        <w:t>人员立即</w:t>
      </w:r>
      <w:r>
        <w:rPr>
          <w:rFonts w:hint="eastAsia" w:ascii="仿宋" w:hAnsi="仿宋" w:eastAsia="仿宋" w:cs="宋体"/>
          <w:color w:val="000000" w:themeColor="text1"/>
          <w:sz w:val="32"/>
          <w:szCs w:val="32"/>
          <w:lang w:val="zh-TW"/>
          <w14:textFill>
            <w14:solidFill>
              <w14:schemeClr w14:val="tx1"/>
            </w14:solidFill>
          </w14:textFill>
        </w:rPr>
        <w:t>沿上风向撤离风险区域</w:t>
      </w:r>
      <w:r>
        <w:rPr>
          <w:rFonts w:ascii="仿宋" w:hAnsi="仿宋" w:eastAsia="仿宋" w:cs="宋体"/>
          <w:color w:val="000000" w:themeColor="text1"/>
          <w:sz w:val="32"/>
          <w:szCs w:val="32"/>
          <w:lang w:val="zh-TW"/>
          <w14:textFill>
            <w14:solidFill>
              <w14:schemeClr w14:val="tx1"/>
            </w14:solidFill>
          </w14:textFill>
        </w:rPr>
        <w:t>。</w:t>
      </w:r>
    </w:p>
    <w:p w14:paraId="42070EBE">
      <w:pPr>
        <w:numPr>
          <w:ilvl w:val="0"/>
          <w:numId w:val="3"/>
        </w:numPr>
        <w:rPr>
          <w:rFonts w:ascii="仿宋" w:hAnsi="仿宋" w:eastAsia="仿宋" w:cs="宋体"/>
          <w:color w:val="000000" w:themeColor="text1"/>
          <w:sz w:val="32"/>
          <w:szCs w:val="32"/>
          <w14:textFill>
            <w14:solidFill>
              <w14:schemeClr w14:val="tx1"/>
            </w14:solidFill>
          </w14:textFill>
        </w:rPr>
      </w:pPr>
      <w:r>
        <w:rPr>
          <w:rFonts w:ascii="仿宋" w:hAnsi="仿宋" w:eastAsia="仿宋" w:cs="宋体"/>
          <w:color w:val="000000" w:themeColor="text1"/>
          <w:sz w:val="32"/>
          <w:szCs w:val="32"/>
          <w:lang w:val="zh-TW"/>
          <w14:textFill>
            <w14:solidFill>
              <w14:schemeClr w14:val="tx1"/>
            </w14:solidFill>
          </w14:textFill>
        </w:rPr>
        <w:t>现场人员在确保自身安全的前提下采取必要的紧急措施，随后移动至安全区域，拨打8833 0110报告给消防控制中心，</w:t>
      </w:r>
      <w:r>
        <w:rPr>
          <w:rFonts w:ascii="仿宋" w:hAnsi="仿宋" w:eastAsia="仿宋" w:cs="宋体"/>
          <w:color w:val="000000" w:themeColor="text1"/>
          <w:sz w:val="32"/>
          <w:szCs w:val="32"/>
          <w14:textFill>
            <w14:solidFill>
              <w14:schemeClr w14:val="tx1"/>
            </w14:solidFill>
          </w14:textFill>
        </w:rPr>
        <w:t>消防控制中心接警后，应立即拨打8833</w:t>
      </w:r>
      <w:r>
        <w:rPr>
          <w:rFonts w:hint="eastAsia" w:ascii="仿宋" w:hAnsi="仿宋" w:eastAsia="仿宋" w:cs="宋体"/>
          <w:color w:val="000000" w:themeColor="text1"/>
          <w:sz w:val="32"/>
          <w:szCs w:val="32"/>
          <w14:textFill>
            <w14:solidFill>
              <w14:schemeClr w14:val="tx1"/>
            </w14:solidFill>
          </w14:textFill>
        </w:rPr>
        <w:t xml:space="preserve"> </w:t>
      </w:r>
      <w:r>
        <w:rPr>
          <w:rFonts w:ascii="仿宋" w:hAnsi="仿宋" w:eastAsia="仿宋" w:cs="宋体"/>
          <w:color w:val="000000" w:themeColor="text1"/>
          <w:sz w:val="32"/>
          <w:szCs w:val="32"/>
          <w14:textFill>
            <w14:solidFill>
              <w14:schemeClr w14:val="tx1"/>
            </w14:solidFill>
          </w14:textFill>
        </w:rPr>
        <w:t>9099报告给实验室健康与安全处，实验室健康与安全处接警后报至实验室安全应急指挥部组长或副组长</w:t>
      </w:r>
      <w:r>
        <w:rPr>
          <w:rFonts w:hint="eastAsia" w:ascii="仿宋" w:hAnsi="仿宋" w:eastAsia="仿宋" w:cs="宋体"/>
          <w:color w:val="000000" w:themeColor="text1"/>
          <w:sz w:val="32"/>
          <w:szCs w:val="32"/>
          <w14:textFill>
            <w14:solidFill>
              <w14:schemeClr w14:val="tx1"/>
            </w14:solidFill>
          </w14:textFill>
        </w:rPr>
        <w:t>。</w:t>
      </w:r>
      <w:r>
        <w:rPr>
          <w:rFonts w:ascii="仿宋" w:hAnsi="仿宋" w:eastAsia="仿宋" w:cs="宋体"/>
          <w:color w:val="000000" w:themeColor="text1"/>
          <w:sz w:val="32"/>
          <w:szCs w:val="32"/>
          <w14:textFill>
            <w14:solidFill>
              <w14:schemeClr w14:val="tx1"/>
            </w14:solidFill>
          </w14:textFill>
        </w:rPr>
        <w:t>实验室安全应急指挥部组长或副组长应根据事态的严重程度，决策是否报告给校园应急指挥部。</w:t>
      </w:r>
    </w:p>
    <w:p w14:paraId="35E29344">
      <w:pPr>
        <w:numPr>
          <w:ilvl w:val="0"/>
          <w:numId w:val="3"/>
        </w:numPr>
        <w:rPr>
          <w:rFonts w:ascii="仿宋" w:hAnsi="仿宋" w:eastAsia="仿宋" w:cs="宋体"/>
          <w:color w:val="000000" w:themeColor="text1"/>
          <w:sz w:val="32"/>
          <w:szCs w:val="32"/>
          <w:lang w:val="zh-TW"/>
          <w14:textFill>
            <w14:solidFill>
              <w14:schemeClr w14:val="tx1"/>
            </w14:solidFill>
          </w14:textFill>
        </w:rPr>
      </w:pPr>
      <w:r>
        <w:rPr>
          <w:rFonts w:ascii="仿宋" w:hAnsi="仿宋" w:eastAsia="仿宋" w:cs="宋体"/>
          <w:color w:val="000000" w:themeColor="text1"/>
          <w:sz w:val="32"/>
          <w:szCs w:val="32"/>
          <w14:textFill>
            <w14:solidFill>
              <w14:schemeClr w14:val="tx1"/>
            </w14:solidFill>
          </w14:textFill>
        </w:rPr>
        <w:t>实验室安全应急指挥部组长或副组长</w:t>
      </w:r>
      <w:r>
        <w:rPr>
          <w:rFonts w:hint="eastAsia" w:ascii="仿宋" w:hAnsi="仿宋" w:eastAsia="仿宋" w:cs="宋体"/>
          <w:color w:val="000000" w:themeColor="text1"/>
          <w:sz w:val="32"/>
          <w:szCs w:val="32"/>
          <w14:textFill>
            <w14:solidFill>
              <w14:schemeClr w14:val="tx1"/>
            </w14:solidFill>
          </w14:textFill>
        </w:rPr>
        <w:t>通知各应急小组前往事故现场，成立现场指挥部，对事故处置进行沟通讨论。</w:t>
      </w:r>
    </w:p>
    <w:p w14:paraId="6E2658F0">
      <w:pPr>
        <w:numPr>
          <w:ilvl w:val="0"/>
          <w:numId w:val="3"/>
        </w:numPr>
        <w:rPr>
          <w:rFonts w:ascii="仿宋" w:hAnsi="仿宋" w:eastAsia="仿宋" w:cs="宋体"/>
          <w:bCs/>
          <w:color w:val="000000" w:themeColor="text1"/>
          <w:sz w:val="32"/>
          <w:szCs w:val="32"/>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由现场处置组对事故现场进行处理，通讯联络组负责</w:t>
      </w:r>
      <w:r>
        <w:rPr>
          <w:rFonts w:ascii="仿宋" w:hAnsi="仿宋" w:eastAsia="仿宋" w:cs="宋体"/>
          <w:bCs/>
          <w:color w:val="000000" w:themeColor="text1"/>
          <w:sz w:val="32"/>
          <w:szCs w:val="32"/>
          <w14:textFill>
            <w14:solidFill>
              <w14:schemeClr w14:val="tx1"/>
            </w14:solidFill>
          </w14:textFill>
        </w:rPr>
        <w:t>现场的通信协调</w:t>
      </w:r>
      <w:r>
        <w:rPr>
          <w:rFonts w:hint="eastAsia" w:ascii="仿宋" w:hAnsi="仿宋" w:eastAsia="仿宋" w:cs="宋体"/>
          <w:bCs/>
          <w:color w:val="000000" w:themeColor="text1"/>
          <w:sz w:val="32"/>
          <w:szCs w:val="32"/>
          <w14:textFill>
            <w14:solidFill>
              <w14:schemeClr w14:val="tx1"/>
            </w14:solidFill>
          </w14:textFill>
        </w:rPr>
        <w:t>，疏散警戒组对</w:t>
      </w:r>
      <w:r>
        <w:rPr>
          <w:rFonts w:ascii="仿宋" w:hAnsi="仿宋" w:eastAsia="仿宋" w:cs="宋体"/>
          <w:bCs/>
          <w:color w:val="000000" w:themeColor="text1"/>
          <w:sz w:val="32"/>
          <w:szCs w:val="32"/>
          <w14:textFill>
            <w14:solidFill>
              <w14:schemeClr w14:val="tx1"/>
            </w14:solidFill>
          </w14:textFill>
        </w:rPr>
        <w:t>受影响区域人员的应急疏散</w:t>
      </w:r>
      <w:r>
        <w:rPr>
          <w:rFonts w:hint="eastAsia" w:ascii="仿宋" w:hAnsi="仿宋" w:eastAsia="仿宋" w:cs="宋体"/>
          <w:bCs/>
          <w:color w:val="000000" w:themeColor="text1"/>
          <w:sz w:val="32"/>
          <w:szCs w:val="32"/>
          <w14:textFill>
            <w14:solidFill>
              <w14:schemeClr w14:val="tx1"/>
            </w14:solidFill>
          </w14:textFill>
        </w:rPr>
        <w:t>，后勤保障组对现场设施进行抢险，医疗救护组对</w:t>
      </w:r>
      <w:r>
        <w:rPr>
          <w:rFonts w:ascii="仿宋" w:hAnsi="仿宋" w:eastAsia="仿宋" w:cs="宋体"/>
          <w:bCs/>
          <w:color w:val="000000" w:themeColor="text1"/>
          <w:sz w:val="32"/>
          <w:szCs w:val="32"/>
          <w14:textFill>
            <w14:solidFill>
              <w14:schemeClr w14:val="tx1"/>
            </w14:solidFill>
          </w14:textFill>
        </w:rPr>
        <w:t>受伤人员进行紧急救护；协调有关医疗机构，对受伤人员实施紧急医疗救援，特别是做好受伤人员的安抚和心理干预工作。</w:t>
      </w:r>
    </w:p>
    <w:p w14:paraId="5075CDCD">
      <w:pPr>
        <w:numPr>
          <w:ilvl w:val="0"/>
          <w:numId w:val="3"/>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对于不同事故类型的现场处置方式如下：</w:t>
      </w:r>
    </w:p>
    <w:p w14:paraId="50A425AD">
      <w:pPr>
        <w:pStyle w:val="32"/>
        <w:ind w:left="0" w:firstLine="320" w:firstLineChars="10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1）</w:t>
      </w:r>
      <w:r>
        <w:rPr>
          <w:rFonts w:hint="eastAsia" w:ascii="仿宋" w:hAnsi="仿宋" w:eastAsia="仿宋" w:cs="宋体"/>
          <w:color w:val="000000" w:themeColor="text1"/>
          <w:sz w:val="32"/>
          <w:szCs w:val="32"/>
          <w:lang w:val="zh-TW"/>
          <w14:textFill>
            <w14:solidFill>
              <w14:schemeClr w14:val="tx1"/>
            </w14:solidFill>
          </w14:textFill>
        </w:rPr>
        <w:t>储罐、管道法兰、阀门液氮泄漏</w:t>
      </w:r>
    </w:p>
    <w:p w14:paraId="7BF47F22">
      <w:pPr>
        <w:pStyle w:val="32"/>
        <w:numPr>
          <w:ilvl w:val="0"/>
          <w:numId w:val="4"/>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人员全部撤离至上风口，疏散警戒组布设 30 米警戒区，使用便携式氧含量检测仪持续监测机房内外氧气浓度，标记氮气积聚低洼区域；</w:t>
      </w:r>
    </w:p>
    <w:p w14:paraId="5A29E8CE">
      <w:pPr>
        <w:pStyle w:val="32"/>
        <w:numPr>
          <w:ilvl w:val="0"/>
          <w:numId w:val="4"/>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现场处置组 2 人一组，穿戴耐低温防护服、防冻手套、护目镜、正压式空气呼吸器，从上风口进入机房排查泄漏点位，关闭泄漏点前、后阀门，切断泄漏源；</w:t>
      </w:r>
    </w:p>
    <w:p w14:paraId="04137793">
      <w:pPr>
        <w:pStyle w:val="32"/>
        <w:numPr>
          <w:ilvl w:val="0"/>
          <w:numId w:val="4"/>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若阀门因水汽结冰无法关闭，采用常温流动清水缓慢喷淋阀门外壁除冰，严禁使用高温热水、明火烘烤；阀门解冻后关闭</w:t>
      </w:r>
      <w:r>
        <w:rPr>
          <w:rFonts w:hint="eastAsia" w:ascii="仿宋" w:hAnsi="仿宋" w:eastAsia="仿宋" w:cs="宋体"/>
          <w:color w:val="000000" w:themeColor="text1"/>
          <w:sz w:val="32"/>
          <w:szCs w:val="32"/>
          <w14:textFill>
            <w14:solidFill>
              <w14:schemeClr w14:val="tx1"/>
            </w14:solidFill>
          </w14:textFill>
        </w:rPr>
        <w:t>相应</w:t>
      </w:r>
      <w:r>
        <w:rPr>
          <w:rFonts w:hint="eastAsia" w:ascii="仿宋" w:hAnsi="仿宋" w:eastAsia="仿宋" w:cs="宋体"/>
          <w:color w:val="000000" w:themeColor="text1"/>
          <w:sz w:val="32"/>
          <w:szCs w:val="32"/>
          <w:lang w:val="zh-TW"/>
          <w14:textFill>
            <w14:solidFill>
              <w14:schemeClr w14:val="tx1"/>
            </w14:solidFill>
          </w14:textFill>
        </w:rPr>
        <w:t>阀门；</w:t>
      </w:r>
    </w:p>
    <w:p w14:paraId="2042DDC9">
      <w:pPr>
        <w:pStyle w:val="32"/>
        <w:numPr>
          <w:ilvl w:val="0"/>
          <w:numId w:val="4"/>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全程保持机房防爆强制通风系统满负荷运行，加速氮气扩散；待白雾完全消散、氧含量恢复至 19.5%~23.5% 区间后，方可近距离复查；</w:t>
      </w:r>
    </w:p>
    <w:p w14:paraId="23CD686A">
      <w:pPr>
        <w:pStyle w:val="32"/>
        <w:numPr>
          <w:ilvl w:val="0"/>
          <w:numId w:val="4"/>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严禁带压紧固泄漏法兰、垫片，必须完成泄压、隔离后，由第三方维保人员进场更换密封件</w:t>
      </w:r>
      <w:r>
        <w:rPr>
          <w:rFonts w:ascii="仿宋" w:hAnsi="仿宋" w:eastAsia="仿宋" w:cs="宋体"/>
          <w:color w:val="000000" w:themeColor="text1"/>
          <w:sz w:val="32"/>
          <w:szCs w:val="32"/>
          <w:lang w:val="zh-TW"/>
          <w14:textFill>
            <w14:solidFill>
              <w14:schemeClr w14:val="tx1"/>
            </w14:solidFill>
          </w14:textFill>
        </w:rPr>
        <w:t>。</w:t>
      </w:r>
    </w:p>
    <w:p w14:paraId="78A45A3D">
      <w:pPr>
        <w:pStyle w:val="32"/>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2）</w:t>
      </w:r>
      <w:r>
        <w:rPr>
          <w:rFonts w:hint="eastAsia" w:ascii="仿宋" w:hAnsi="仿宋" w:eastAsia="仿宋" w:cs="宋体"/>
          <w:color w:val="000000" w:themeColor="text1"/>
          <w:sz w:val="32"/>
          <w:szCs w:val="32"/>
          <w:lang w:val="zh-TW"/>
          <w14:textFill>
            <w14:solidFill>
              <w14:schemeClr w14:val="tx1"/>
            </w14:solidFill>
          </w14:textFill>
        </w:rPr>
        <w:t>储罐超压、安全阀失效起跳</w:t>
      </w:r>
    </w:p>
    <w:p w14:paraId="3CF3559A">
      <w:pPr>
        <w:pStyle w:val="32"/>
        <w:numPr>
          <w:ilvl w:val="0"/>
          <w:numId w:val="5"/>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立即关闭液氮充液管路阀门，停止进液；全开放空管路手动旁路辅助泄压；</w:t>
      </w:r>
    </w:p>
    <w:p w14:paraId="51295A3F">
      <w:pPr>
        <w:pStyle w:val="32"/>
        <w:numPr>
          <w:ilvl w:val="0"/>
          <w:numId w:val="5"/>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疏散警戒组扩大警戒范围，禁止人员站在安全阀、放空管口正前方，防止低温喷溅冻伤；</w:t>
      </w:r>
    </w:p>
    <w:p w14:paraId="12FEF754">
      <w:pPr>
        <w:pStyle w:val="32"/>
        <w:numPr>
          <w:ilvl w:val="0"/>
          <w:numId w:val="5"/>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现场处置组检查放空管路是否结冰堵塞，少量结冰采用常温清水缓慢融冰，保证氮气正常外排；</w:t>
      </w:r>
    </w:p>
    <w:p w14:paraId="1A2B78BC">
      <w:pPr>
        <w:pStyle w:val="32"/>
        <w:numPr>
          <w:ilvl w:val="0"/>
          <w:numId w:val="5"/>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持续监测储罐压力表，待罐内压力回落至额定工作区间后，暂停一切充装、输送作业，通知维保单位检修安全阀、真空夹层</w:t>
      </w:r>
      <w:r>
        <w:rPr>
          <w:rFonts w:ascii="仿宋" w:hAnsi="仿宋" w:eastAsia="仿宋" w:cs="宋体"/>
          <w:color w:val="000000" w:themeColor="text1"/>
          <w:sz w:val="32"/>
          <w:szCs w:val="32"/>
          <w:lang w:val="zh-TW"/>
          <w14:textFill>
            <w14:solidFill>
              <w14:schemeClr w14:val="tx1"/>
            </w14:solidFill>
          </w14:textFill>
        </w:rPr>
        <w:t>。</w:t>
      </w:r>
    </w:p>
    <w:p w14:paraId="2ADC6A54">
      <w:pPr>
        <w:pStyle w:val="32"/>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3）</w:t>
      </w:r>
      <w:r>
        <w:rPr>
          <w:rFonts w:hint="eastAsia" w:ascii="仿宋" w:hAnsi="仿宋" w:eastAsia="仿宋" w:cs="宋体"/>
          <w:color w:val="000000" w:themeColor="text1"/>
          <w:sz w:val="32"/>
          <w:szCs w:val="32"/>
          <w:lang w:val="zh-TW"/>
          <w14:textFill>
            <w14:solidFill>
              <w14:schemeClr w14:val="tx1"/>
            </w14:solidFill>
          </w14:textFill>
        </w:rPr>
        <w:t>储罐液位异常（超充装/液位过低）</w:t>
      </w:r>
    </w:p>
    <w:p w14:paraId="5EF209DB">
      <w:pPr>
        <w:numPr>
          <w:ilvl w:val="0"/>
          <w:numId w:val="6"/>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超充装处置：立即停止充液，全开放空管路缓慢泄压排气，通过排液管路适量排放液氮降低罐内液位，全程监测罐压，防止快速泄压引发剧烈喷溅；</w:t>
      </w:r>
    </w:p>
    <w:p w14:paraId="0ED75E69">
      <w:pPr>
        <w:numPr>
          <w:ilvl w:val="0"/>
          <w:numId w:val="6"/>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液位过低、夹层真空失效漏冷，切断储罐输出管路，停止向外供液，加大机房通风，监测罐体外壁，联系维保人员检测真空度，禁止继续使用储罐。</w:t>
      </w:r>
    </w:p>
    <w:p w14:paraId="25FBCDFA">
      <w:pPr>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4）</w:t>
      </w:r>
      <w:r>
        <w:rPr>
          <w:rFonts w:hint="eastAsia" w:ascii="仿宋" w:hAnsi="仿宋" w:eastAsia="仿宋" w:cs="宋体"/>
          <w:color w:val="000000" w:themeColor="text1"/>
          <w:sz w:val="32"/>
          <w:szCs w:val="32"/>
          <w:lang w:val="zh-TW"/>
          <w14:textFill>
            <w14:solidFill>
              <w14:schemeClr w14:val="tx1"/>
            </w14:solidFill>
          </w14:textFill>
        </w:rPr>
        <w:t>罐体真空夹层破损、大面积持续漏冷</w:t>
      </w:r>
    </w:p>
    <w:p w14:paraId="791755B5">
      <w:pPr>
        <w:pStyle w:val="32"/>
        <w:numPr>
          <w:ilvl w:val="0"/>
          <w:numId w:val="7"/>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立即全面隔离储罐所有管路，停止充装与供液；</w:t>
      </w:r>
    </w:p>
    <w:p w14:paraId="158DCCC5">
      <w:pPr>
        <w:pStyle w:val="32"/>
        <w:numPr>
          <w:ilvl w:val="0"/>
          <w:numId w:val="7"/>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扩大警戒范围，禁止人员近距离接触罐体，防止大面积低温冻伤；</w:t>
      </w:r>
    </w:p>
    <w:p w14:paraId="66A29232">
      <w:pPr>
        <w:pStyle w:val="32"/>
        <w:numPr>
          <w:ilvl w:val="0"/>
          <w:numId w:val="7"/>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持续通风监测氧含量，待罐内液氮自然缓慢放空完毕后，由专业维保单位拆卸检修，禁止带病运行</w:t>
      </w:r>
      <w:r>
        <w:rPr>
          <w:rFonts w:ascii="仿宋" w:hAnsi="仿宋" w:eastAsia="仿宋" w:cs="宋体"/>
          <w:color w:val="000000" w:themeColor="text1"/>
          <w:sz w:val="32"/>
          <w:szCs w:val="32"/>
          <w:lang w:val="zh-TW"/>
          <w14:textFill>
            <w14:solidFill>
              <w14:schemeClr w14:val="tx1"/>
            </w14:solidFill>
          </w14:textFill>
        </w:rPr>
        <w:t>。</w:t>
      </w:r>
    </w:p>
    <w:p w14:paraId="397A0EB3">
      <w:pPr>
        <w:pStyle w:val="32"/>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5）</w:t>
      </w:r>
      <w:r>
        <w:rPr>
          <w:rFonts w:hint="eastAsia" w:ascii="仿宋" w:hAnsi="仿宋" w:eastAsia="仿宋" w:cs="宋体"/>
          <w:color w:val="000000" w:themeColor="text1"/>
          <w:sz w:val="32"/>
          <w:szCs w:val="32"/>
          <w:lang w:val="zh-TW"/>
          <w14:textFill>
            <w14:solidFill>
              <w14:schemeClr w14:val="tx1"/>
            </w14:solidFill>
          </w14:textFill>
        </w:rPr>
        <w:t>人员低温冻伤现场急救</w:t>
      </w:r>
    </w:p>
    <w:p w14:paraId="44EE00FD">
      <w:pPr>
        <w:pStyle w:val="32"/>
        <w:numPr>
          <w:ilvl w:val="0"/>
          <w:numId w:val="8"/>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迅速将冻伤人员转移至常温通风安全区域，脱去沾染液氮的衣物；若衣物与皮肤粘连，使用常温清水持续浸泡解冻后缓慢剥离，严禁强行撕扯、热水烫洗、火烤冻伤部位；</w:t>
      </w:r>
    </w:p>
    <w:p w14:paraId="421B8218">
      <w:pPr>
        <w:pStyle w:val="32"/>
        <w:numPr>
          <w:ilvl w:val="0"/>
          <w:numId w:val="8"/>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轻度冻伤使用常温清水持续冲洗患处 15~30 分钟；大面积、重度冻伤使用无菌干燥纱布轻轻覆盖创面，不涂抹药膏，立即拨打120转送医院；</w:t>
      </w:r>
    </w:p>
    <w:p w14:paraId="0C58C42B">
      <w:pPr>
        <w:pStyle w:val="32"/>
        <w:numPr>
          <w:ilvl w:val="0"/>
          <w:numId w:val="8"/>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若出现肢体冻僵、休克，同步做好体温维持，等待医护人员到场</w:t>
      </w:r>
      <w:r>
        <w:rPr>
          <w:rFonts w:ascii="仿宋" w:hAnsi="仿宋" w:eastAsia="仿宋" w:cs="宋体"/>
          <w:color w:val="000000" w:themeColor="text1"/>
          <w:sz w:val="32"/>
          <w:szCs w:val="32"/>
          <w:lang w:val="zh-TW"/>
          <w14:textFill>
            <w14:solidFill>
              <w14:schemeClr w14:val="tx1"/>
            </w14:solidFill>
          </w14:textFill>
        </w:rPr>
        <w:t>。</w:t>
      </w:r>
    </w:p>
    <w:p w14:paraId="446A54E7">
      <w:pPr>
        <w:ind w:left="440"/>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14:textFill>
            <w14:solidFill>
              <w14:schemeClr w14:val="tx1"/>
            </w14:solidFill>
          </w14:textFill>
        </w:rPr>
        <w:t>6）</w:t>
      </w:r>
      <w:r>
        <w:rPr>
          <w:rFonts w:hint="eastAsia" w:ascii="仿宋" w:hAnsi="仿宋" w:eastAsia="仿宋" w:cs="宋体"/>
          <w:color w:val="000000" w:themeColor="text1"/>
          <w:sz w:val="32"/>
          <w:szCs w:val="32"/>
          <w:lang w:val="zh-TW"/>
          <w14:textFill>
            <w14:solidFill>
              <w14:schemeClr w14:val="tx1"/>
            </w14:solidFill>
          </w14:textFill>
        </w:rPr>
        <w:t>人员缺氧窒息处置</w:t>
      </w:r>
    </w:p>
    <w:p w14:paraId="20D64628">
      <w:pPr>
        <w:pStyle w:val="32"/>
        <w:numPr>
          <w:ilvl w:val="0"/>
          <w:numId w:val="9"/>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救援人员穿戴耐低温防护服、防冻手套、护目镜、正压式空气呼吸器，迅速将窒息人员转移至空气新鲜通风处；</w:t>
      </w:r>
    </w:p>
    <w:p w14:paraId="54F9B900">
      <w:pPr>
        <w:pStyle w:val="32"/>
        <w:numPr>
          <w:ilvl w:val="0"/>
          <w:numId w:val="9"/>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解开衣领，保持气道通畅，给予吸氧处置；</w:t>
      </w:r>
    </w:p>
    <w:p w14:paraId="2B3A93E4">
      <w:pPr>
        <w:pStyle w:val="32"/>
        <w:numPr>
          <w:ilvl w:val="0"/>
          <w:numId w:val="9"/>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若伤员无呼吸、无脉搏，立即实施心肺复苏（通畅气道→人工呼吸→胸外按压），每 5 分钟评估一次生命体征，医护人员未交接前不得中断抢救；</w:t>
      </w:r>
    </w:p>
    <w:p w14:paraId="685BCCA0">
      <w:pPr>
        <w:pStyle w:val="32"/>
        <w:numPr>
          <w:ilvl w:val="0"/>
          <w:numId w:val="9"/>
        </w:numPr>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同步排查机房通风系统故障，持续开启强制通风置换氮气</w:t>
      </w:r>
      <w:r>
        <w:rPr>
          <w:rFonts w:ascii="仿宋" w:hAnsi="仿宋" w:eastAsia="仿宋" w:cs="宋体"/>
          <w:color w:val="000000" w:themeColor="text1"/>
          <w:sz w:val="32"/>
          <w:szCs w:val="32"/>
          <w:lang w:val="zh-TW"/>
          <w14:textFill>
            <w14:solidFill>
              <w14:schemeClr w14:val="tx1"/>
            </w14:solidFill>
          </w14:textFill>
        </w:rPr>
        <w:t>。</w:t>
      </w:r>
    </w:p>
    <w:p w14:paraId="0ECFCD99">
      <w:pPr>
        <w:widowControl/>
        <w:spacing w:line="360" w:lineRule="auto"/>
        <w:jc w:val="left"/>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（二）二级响应</w:t>
      </w:r>
    </w:p>
    <w:p w14:paraId="3F8E0C13">
      <w:pPr>
        <w:widowControl/>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ascii="仿宋" w:hAnsi="仿宋" w:eastAsia="仿宋" w:cs="宋体"/>
          <w:color w:val="000000" w:themeColor="text1"/>
          <w:sz w:val="32"/>
          <w:szCs w:val="32"/>
          <w14:textFill>
            <w14:solidFill>
              <w14:schemeClr w14:val="tx1"/>
            </w14:solidFill>
          </w14:textFill>
        </w:rPr>
        <w:t>立即通知安全管理人员和维保单位到场处理，必要时降低运行负荷或停运</w:t>
      </w:r>
      <w:r>
        <w:rPr>
          <w:rFonts w:hint="eastAsia" w:ascii="仿宋" w:hAnsi="仿宋" w:eastAsia="仿宋" w:cs="宋体"/>
          <w:color w:val="000000" w:themeColor="text1"/>
          <w:sz w:val="32"/>
          <w:szCs w:val="32"/>
          <w14:textFill>
            <w14:solidFill>
              <w14:schemeClr w14:val="tx1"/>
            </w14:solidFill>
          </w14:textFill>
        </w:rPr>
        <w:t>。</w:t>
      </w:r>
    </w:p>
    <w:p w14:paraId="077A3A77">
      <w:pPr>
        <w:widowControl/>
        <w:spacing w:line="360" w:lineRule="auto"/>
        <w:jc w:val="left"/>
        <w:rPr>
          <w:rFonts w:ascii="仿宋" w:hAnsi="仿宋" w:eastAsia="仿宋" w:cs="宋体"/>
          <w:color w:val="000000" w:themeColor="text1"/>
          <w:sz w:val="32"/>
          <w:szCs w:val="32"/>
          <w:lang w:val="zh-TW"/>
          <w14:textFill>
            <w14:solidFill>
              <w14:schemeClr w14:val="tx1"/>
            </w14:solidFill>
          </w14:textFill>
        </w:rPr>
      </w:pPr>
      <w:r>
        <w:rPr>
          <w:rFonts w:hint="eastAsia" w:ascii="仿宋" w:hAnsi="仿宋" w:eastAsia="仿宋" w:cs="宋体"/>
          <w:color w:val="000000" w:themeColor="text1"/>
          <w:sz w:val="32"/>
          <w:szCs w:val="32"/>
          <w:lang w:val="zh-TW"/>
          <w14:textFill>
            <w14:solidFill>
              <w14:schemeClr w14:val="tx1"/>
            </w14:solidFill>
          </w14:textFill>
        </w:rPr>
        <w:t>（三）三级响应</w:t>
      </w:r>
    </w:p>
    <w:p w14:paraId="55B6EF8E">
      <w:pPr>
        <w:widowControl/>
        <w:spacing w:line="360" w:lineRule="auto"/>
        <w:ind w:firstLine="640" w:firstLineChars="200"/>
        <w:jc w:val="left"/>
        <w:rPr>
          <w:rFonts w:ascii="仿宋" w:hAnsi="仿宋" w:eastAsia="仿宋" w:cs="宋体"/>
          <w:color w:val="000000" w:themeColor="text1"/>
          <w:sz w:val="32"/>
          <w:szCs w:val="32"/>
          <w14:textFill>
            <w14:solidFill>
              <w14:schemeClr w14:val="tx1"/>
            </w14:solidFill>
          </w14:textFill>
        </w:rPr>
      </w:pPr>
      <w:r>
        <w:rPr>
          <w:rFonts w:ascii="仿宋" w:hAnsi="仿宋" w:eastAsia="仿宋" w:cs="宋体"/>
          <w:color w:val="000000" w:themeColor="text1"/>
          <w:sz w:val="32"/>
          <w:szCs w:val="32"/>
          <w14:textFill>
            <w14:solidFill>
              <w14:schemeClr w14:val="tx1"/>
            </w14:solidFill>
          </w14:textFill>
        </w:rPr>
        <w:t>加强巡检频次，通知安全管理人员，做好应急准备</w:t>
      </w:r>
      <w:r>
        <w:rPr>
          <w:rFonts w:hint="eastAsia" w:ascii="仿宋" w:hAnsi="仿宋" w:eastAsia="仿宋" w:cs="宋体"/>
          <w:color w:val="000000" w:themeColor="text1"/>
          <w:sz w:val="32"/>
          <w:szCs w:val="32"/>
          <w14:textFill>
            <w14:solidFill>
              <w14:schemeClr w14:val="tx1"/>
            </w14:solidFill>
          </w14:textFill>
        </w:rPr>
        <w:t>。</w:t>
      </w:r>
    </w:p>
    <w:p w14:paraId="4BC2E149">
      <w:pPr>
        <w:widowControl/>
        <w:spacing w:line="360" w:lineRule="auto"/>
        <w:jc w:val="left"/>
        <w:rPr>
          <w:rFonts w:ascii="仿宋" w:hAnsi="仿宋" w:eastAsia="仿宋" w:cs="宋体"/>
          <w:color w:val="000000" w:themeColor="text1"/>
          <w:sz w:val="32"/>
          <w:szCs w:val="32"/>
          <w14:textFill>
            <w14:solidFill>
              <w14:schemeClr w14:val="tx1"/>
            </w14:solidFill>
          </w14:textFill>
        </w:rPr>
      </w:pPr>
    </w:p>
    <w:p w14:paraId="2CA31570">
      <w:pPr>
        <w:widowControl/>
        <w:spacing w:line="360" w:lineRule="auto"/>
        <w:jc w:val="left"/>
        <w:rPr>
          <w:rFonts w:ascii="仿宋" w:hAnsi="仿宋" w:eastAsia="仿宋" w:cs="宋体"/>
          <w:color w:val="000000" w:themeColor="text1"/>
          <w:sz w:val="32"/>
          <w:szCs w:val="32"/>
          <w:lang w:val="zh-TW"/>
          <w14:textFill>
            <w14:solidFill>
              <w14:schemeClr w14:val="tx1"/>
            </w14:solidFill>
          </w14:textFill>
        </w:rPr>
      </w:pPr>
    </w:p>
    <w:p w14:paraId="33A4C247">
      <w:pPr>
        <w:rPr>
          <w:rFonts w:ascii="仿宋" w:hAnsi="仿宋" w:eastAsia="仿宋" w:cs="宋体"/>
          <w:color w:val="000000" w:themeColor="text1"/>
          <w:sz w:val="32"/>
          <w:szCs w:val="32"/>
          <w:lang w:val="zh-TW"/>
          <w14:textFill>
            <w14:solidFill>
              <w14:schemeClr w14:val="tx1"/>
            </w14:solidFill>
          </w14:textFill>
        </w:rPr>
      </w:pPr>
    </w:p>
    <w:p w14:paraId="66D0F8D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BFF9F5"/>
    <w:multiLevelType w:val="singleLevel"/>
    <w:tmpl w:val="90BFF9F5"/>
    <w:lvl w:ilvl="0" w:tentative="0">
      <w:start w:val="1"/>
      <w:numFmt w:val="decimalEnclosedCircleChinese"/>
      <w:suff w:val="nothing"/>
      <w:lvlText w:val="%1　"/>
      <w:lvlJc w:val="left"/>
      <w:pPr>
        <w:ind w:left="567" w:firstLine="0"/>
      </w:pPr>
      <w:rPr>
        <w:rFonts w:hint="eastAsia"/>
      </w:rPr>
    </w:lvl>
  </w:abstractNum>
  <w:abstractNum w:abstractNumId="1">
    <w:nsid w:val="B0D0D74A"/>
    <w:multiLevelType w:val="singleLevel"/>
    <w:tmpl w:val="B0D0D74A"/>
    <w:lvl w:ilvl="0" w:tentative="0">
      <w:start w:val="1"/>
      <w:numFmt w:val="decimalEnclosedCircleChinese"/>
      <w:suff w:val="nothing"/>
      <w:lvlText w:val="%1　"/>
      <w:lvlJc w:val="left"/>
      <w:pPr>
        <w:ind w:left="567" w:firstLine="0"/>
      </w:pPr>
      <w:rPr>
        <w:rFonts w:hint="eastAsia"/>
      </w:rPr>
    </w:lvl>
  </w:abstractNum>
  <w:abstractNum w:abstractNumId="2">
    <w:nsid w:val="C5CD20CA"/>
    <w:multiLevelType w:val="singleLevel"/>
    <w:tmpl w:val="C5CD20CA"/>
    <w:lvl w:ilvl="0" w:tentative="0">
      <w:start w:val="1"/>
      <w:numFmt w:val="decimalEnclosedCircleChinese"/>
      <w:suff w:val="nothing"/>
      <w:lvlText w:val="%1　"/>
      <w:lvlJc w:val="left"/>
      <w:pPr>
        <w:ind w:left="567" w:firstLine="0"/>
      </w:pPr>
      <w:rPr>
        <w:rFonts w:hint="eastAsia"/>
      </w:rPr>
    </w:lvl>
  </w:abstractNum>
  <w:abstractNum w:abstractNumId="3">
    <w:nsid w:val="FAC221BF"/>
    <w:multiLevelType w:val="multilevel"/>
    <w:tmpl w:val="FAC221BF"/>
    <w:lvl w:ilvl="0" w:tentative="0">
      <w:start w:val="1"/>
      <w:numFmt w:val="decimalEnclosedCircle"/>
      <w:lvlText w:val="%1"/>
      <w:lvlJc w:val="left"/>
      <w:pPr>
        <w:ind w:left="567" w:firstLine="0"/>
      </w:pPr>
      <w:rPr>
        <w:rFonts w:hint="eastAsia"/>
      </w:rPr>
    </w:lvl>
    <w:lvl w:ilvl="1" w:tentative="0">
      <w:start w:val="1"/>
      <w:numFmt w:val="lowerLetter"/>
      <w:lvlText w:val="%2)"/>
      <w:lvlJc w:val="left"/>
      <w:pPr>
        <w:ind w:left="2280" w:hanging="440"/>
      </w:pPr>
      <w:rPr>
        <w:rFonts w:hint="eastAsia"/>
      </w:rPr>
    </w:lvl>
    <w:lvl w:ilvl="2" w:tentative="0">
      <w:start w:val="1"/>
      <w:numFmt w:val="lowerRoman"/>
      <w:lvlText w:val="%3."/>
      <w:lvlJc w:val="right"/>
      <w:pPr>
        <w:ind w:left="2720" w:hanging="440"/>
      </w:pPr>
      <w:rPr>
        <w:rFonts w:hint="eastAsia"/>
      </w:rPr>
    </w:lvl>
    <w:lvl w:ilvl="3" w:tentative="0">
      <w:start w:val="1"/>
      <w:numFmt w:val="decimal"/>
      <w:lvlText w:val="%4."/>
      <w:lvlJc w:val="left"/>
      <w:pPr>
        <w:ind w:left="3160" w:hanging="440"/>
      </w:pPr>
      <w:rPr>
        <w:rFonts w:hint="eastAsia"/>
      </w:rPr>
    </w:lvl>
    <w:lvl w:ilvl="4" w:tentative="0">
      <w:start w:val="1"/>
      <w:numFmt w:val="lowerLetter"/>
      <w:lvlText w:val="%5)"/>
      <w:lvlJc w:val="left"/>
      <w:pPr>
        <w:ind w:left="3600" w:hanging="440"/>
      </w:pPr>
      <w:rPr>
        <w:rFonts w:hint="eastAsia"/>
      </w:rPr>
    </w:lvl>
    <w:lvl w:ilvl="5" w:tentative="0">
      <w:start w:val="1"/>
      <w:numFmt w:val="lowerRoman"/>
      <w:lvlText w:val="%6."/>
      <w:lvlJc w:val="right"/>
      <w:pPr>
        <w:ind w:left="4040" w:hanging="440"/>
      </w:pPr>
      <w:rPr>
        <w:rFonts w:hint="eastAsia"/>
      </w:rPr>
    </w:lvl>
    <w:lvl w:ilvl="6" w:tentative="0">
      <w:start w:val="1"/>
      <w:numFmt w:val="decimal"/>
      <w:lvlText w:val="%7."/>
      <w:lvlJc w:val="left"/>
      <w:pPr>
        <w:ind w:left="4480" w:hanging="440"/>
      </w:pPr>
      <w:rPr>
        <w:rFonts w:hint="eastAsia"/>
      </w:rPr>
    </w:lvl>
    <w:lvl w:ilvl="7" w:tentative="0">
      <w:start w:val="1"/>
      <w:numFmt w:val="lowerLetter"/>
      <w:lvlText w:val="%8)"/>
      <w:lvlJc w:val="left"/>
      <w:pPr>
        <w:ind w:left="4920" w:hanging="440"/>
      </w:pPr>
      <w:rPr>
        <w:rFonts w:hint="eastAsia"/>
      </w:rPr>
    </w:lvl>
    <w:lvl w:ilvl="8" w:tentative="0">
      <w:start w:val="1"/>
      <w:numFmt w:val="lowerRoman"/>
      <w:lvlText w:val="%9."/>
      <w:lvlJc w:val="right"/>
      <w:pPr>
        <w:ind w:left="5360" w:hanging="440"/>
      </w:pPr>
      <w:rPr>
        <w:rFonts w:hint="eastAsia"/>
      </w:rPr>
    </w:lvl>
  </w:abstractNum>
  <w:abstractNum w:abstractNumId="4">
    <w:nsid w:val="11A51C2D"/>
    <w:multiLevelType w:val="multilevel"/>
    <w:tmpl w:val="11A51C2D"/>
    <w:lvl w:ilvl="0" w:tentative="0">
      <w:start w:val="1"/>
      <w:numFmt w:val="chineseCountingThousand"/>
      <w:lvlText w:val="%1、"/>
      <w:lvlJc w:val="left"/>
      <w:pPr>
        <w:ind w:left="440" w:hanging="440"/>
      </w:pPr>
    </w:lvl>
    <w:lvl w:ilvl="1" w:tentative="0">
      <w:start w:val="1"/>
      <w:numFmt w:val="japaneseCounting"/>
      <w:lvlText w:val="（%2）"/>
      <w:lvlJc w:val="left"/>
      <w:pPr>
        <w:ind w:left="1400" w:hanging="960"/>
      </w:pPr>
      <w:rPr>
        <w:rFonts w:hint="default"/>
      </w:rPr>
    </w:lvl>
    <w:lvl w:ilvl="2" w:tentative="0">
      <w:start w:val="1"/>
      <w:numFmt w:val="japaneseCounting"/>
      <w:lvlText w:val="(%3)"/>
      <w:lvlJc w:val="left"/>
      <w:pPr>
        <w:ind w:left="1600" w:hanging="720"/>
      </w:pPr>
      <w:rPr>
        <w:rFonts w:hint="default"/>
      </w:r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5">
    <w:nsid w:val="2455A4DA"/>
    <w:multiLevelType w:val="singleLevel"/>
    <w:tmpl w:val="2455A4DA"/>
    <w:lvl w:ilvl="0" w:tentative="0">
      <w:start w:val="1"/>
      <w:numFmt w:val="decimalEnclosedCircleChinese"/>
      <w:suff w:val="nothing"/>
      <w:lvlText w:val="%1　"/>
      <w:lvlJc w:val="left"/>
      <w:pPr>
        <w:ind w:left="567" w:firstLine="0"/>
      </w:pPr>
      <w:rPr>
        <w:rFonts w:hint="eastAsia"/>
      </w:rPr>
    </w:lvl>
  </w:abstractNum>
  <w:abstractNum w:abstractNumId="6">
    <w:nsid w:val="2BB9FE26"/>
    <w:multiLevelType w:val="singleLevel"/>
    <w:tmpl w:val="2BB9FE26"/>
    <w:lvl w:ilvl="0" w:tentative="0">
      <w:start w:val="1"/>
      <w:numFmt w:val="decimalEnclosedCircleChinese"/>
      <w:suff w:val="nothing"/>
      <w:lvlText w:val="%1　"/>
      <w:lvlJc w:val="left"/>
      <w:pPr>
        <w:ind w:left="567" w:firstLine="0"/>
      </w:pPr>
      <w:rPr>
        <w:rFonts w:hint="eastAsia"/>
      </w:rPr>
    </w:lvl>
  </w:abstractNum>
  <w:abstractNum w:abstractNumId="7">
    <w:nsid w:val="3F210516"/>
    <w:multiLevelType w:val="multilevel"/>
    <w:tmpl w:val="3F210516"/>
    <w:lvl w:ilvl="0" w:tentative="0">
      <w:start w:val="1"/>
      <w:numFmt w:val="decimal"/>
      <w:lvlText w:val="%1."/>
      <w:lvlJc w:val="left"/>
      <w:pPr>
        <w:ind w:left="440" w:hanging="440"/>
      </w:pPr>
      <w:rPr>
        <w:rFonts w:hint="eastAsia"/>
      </w:rPr>
    </w:lvl>
    <w:lvl w:ilvl="1" w:tentative="0">
      <w:start w:val="2"/>
      <w:numFmt w:val="decimalEnclosedCircle"/>
      <w:lvlText w:val="%2"/>
      <w:lvlJc w:val="left"/>
      <w:pPr>
        <w:ind w:left="800" w:hanging="360"/>
      </w:pPr>
      <w:rPr>
        <w:rFonts w:hint="default"/>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8">
    <w:nsid w:val="7D0A2B5F"/>
    <w:multiLevelType w:val="multilevel"/>
    <w:tmpl w:val="7D0A2B5F"/>
    <w:lvl w:ilvl="0" w:tentative="0">
      <w:start w:val="1"/>
      <w:numFmt w:val="decimal"/>
      <w:lvlText w:val="%1."/>
      <w:lvlJc w:val="left"/>
      <w:pPr>
        <w:ind w:left="440" w:hanging="440"/>
      </w:pPr>
      <w:rPr>
        <w:rFonts w:hint="default" w:ascii="Times New Roman" w:hAnsi="Times New Roman" w:cs="Times New Roman"/>
      </w:rPr>
    </w:lvl>
    <w:lvl w:ilvl="1" w:tentative="0">
      <w:start w:val="1"/>
      <w:numFmt w:val="lowerLetter"/>
      <w:lvlText w:val="%2)"/>
      <w:lvlJc w:val="left"/>
      <w:pPr>
        <w:ind w:left="880" w:hanging="440"/>
      </w:pPr>
      <w:rPr>
        <w:rFonts w:hint="default" w:ascii="Times New Roman" w:hAnsi="Times New Roman" w:cs="Times New Roman"/>
      </w:rPr>
    </w:lvl>
    <w:lvl w:ilvl="2" w:tentative="0">
      <w:start w:val="1"/>
      <w:numFmt w:val="lowerRoman"/>
      <w:lvlText w:val="%3."/>
      <w:lvlJc w:val="right"/>
      <w:pPr>
        <w:ind w:left="1320" w:hanging="440"/>
      </w:pPr>
      <w:rPr>
        <w:rFonts w:hint="default" w:ascii="Times New Roman" w:hAnsi="Times New Roman" w:cs="Times New Roman"/>
      </w:rPr>
    </w:lvl>
    <w:lvl w:ilvl="3" w:tentative="0">
      <w:start w:val="1"/>
      <w:numFmt w:val="decimal"/>
      <w:lvlText w:val="%4."/>
      <w:lvlJc w:val="left"/>
      <w:pPr>
        <w:ind w:left="1760" w:hanging="440"/>
      </w:pPr>
      <w:rPr>
        <w:rFonts w:hint="default" w:ascii="Times New Roman" w:hAnsi="Times New Roman" w:cs="Times New Roman"/>
      </w:rPr>
    </w:lvl>
    <w:lvl w:ilvl="4" w:tentative="0">
      <w:start w:val="1"/>
      <w:numFmt w:val="lowerLetter"/>
      <w:lvlText w:val="%5)"/>
      <w:lvlJc w:val="left"/>
      <w:pPr>
        <w:ind w:left="2200" w:hanging="440"/>
      </w:pPr>
      <w:rPr>
        <w:rFonts w:hint="default" w:ascii="Times New Roman" w:hAnsi="Times New Roman" w:cs="Times New Roman"/>
      </w:rPr>
    </w:lvl>
    <w:lvl w:ilvl="5" w:tentative="0">
      <w:start w:val="1"/>
      <w:numFmt w:val="lowerRoman"/>
      <w:lvlText w:val="%6."/>
      <w:lvlJc w:val="right"/>
      <w:pPr>
        <w:ind w:left="2640" w:hanging="440"/>
      </w:pPr>
      <w:rPr>
        <w:rFonts w:hint="default" w:ascii="Times New Roman" w:hAnsi="Times New Roman" w:cs="Times New Roman"/>
      </w:rPr>
    </w:lvl>
    <w:lvl w:ilvl="6" w:tentative="0">
      <w:start w:val="1"/>
      <w:numFmt w:val="decimal"/>
      <w:lvlText w:val="%7."/>
      <w:lvlJc w:val="left"/>
      <w:pPr>
        <w:ind w:left="3080" w:hanging="440"/>
      </w:pPr>
      <w:rPr>
        <w:rFonts w:hint="default" w:ascii="Times New Roman" w:hAnsi="Times New Roman" w:cs="Times New Roman"/>
      </w:rPr>
    </w:lvl>
    <w:lvl w:ilvl="7" w:tentative="0">
      <w:start w:val="1"/>
      <w:numFmt w:val="lowerLetter"/>
      <w:lvlText w:val="%8)"/>
      <w:lvlJc w:val="left"/>
      <w:pPr>
        <w:ind w:left="3520" w:hanging="440"/>
      </w:pPr>
      <w:rPr>
        <w:rFonts w:hint="default" w:ascii="Times New Roman" w:hAnsi="Times New Roman" w:cs="Times New Roman"/>
      </w:rPr>
    </w:lvl>
    <w:lvl w:ilvl="8" w:tentative="0">
      <w:start w:val="1"/>
      <w:numFmt w:val="lowerRoman"/>
      <w:lvlText w:val="%9."/>
      <w:lvlJc w:val="right"/>
      <w:pPr>
        <w:ind w:left="3960" w:hanging="440"/>
      </w:pPr>
      <w:rPr>
        <w:rFonts w:hint="default" w:ascii="Times New Roman" w:hAnsi="Times New Roman" w:cs="Times New Roman"/>
      </w:rPr>
    </w:lvl>
  </w:abstractNum>
  <w:num w:numId="1">
    <w:abstractNumId w:val="4"/>
  </w:num>
  <w:num w:numId="2">
    <w:abstractNumId w:val="7"/>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6"/>
  </w:num>
  <w:num w:numId="6">
    <w:abstractNumId w:val="0"/>
  </w:num>
  <w:num w:numId="7">
    <w:abstractNumId w:val="2"/>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5FA"/>
    <w:rsid w:val="00091269"/>
    <w:rsid w:val="000F7D96"/>
    <w:rsid w:val="001A0C60"/>
    <w:rsid w:val="001C2D74"/>
    <w:rsid w:val="002502D0"/>
    <w:rsid w:val="00294D06"/>
    <w:rsid w:val="002F6C78"/>
    <w:rsid w:val="00511E90"/>
    <w:rsid w:val="00543BE9"/>
    <w:rsid w:val="00572491"/>
    <w:rsid w:val="0072311E"/>
    <w:rsid w:val="008E786E"/>
    <w:rsid w:val="009A44B9"/>
    <w:rsid w:val="00A10FA3"/>
    <w:rsid w:val="00A75D8C"/>
    <w:rsid w:val="00B40B05"/>
    <w:rsid w:val="00B85ACE"/>
    <w:rsid w:val="00C435FA"/>
    <w:rsid w:val="00CB78E3"/>
    <w:rsid w:val="00CC7DB4"/>
    <w:rsid w:val="00D26885"/>
    <w:rsid w:val="00F51D7E"/>
    <w:rsid w:val="00F71791"/>
    <w:rsid w:val="00F73BD4"/>
    <w:rsid w:val="00FF4D1A"/>
    <w:rsid w:val="034D4E02"/>
    <w:rsid w:val="0EDA6B97"/>
    <w:rsid w:val="0F5E3290"/>
    <w:rsid w:val="16221D47"/>
    <w:rsid w:val="163E1C4A"/>
    <w:rsid w:val="1B770817"/>
    <w:rsid w:val="237044C9"/>
    <w:rsid w:val="2CBA4A07"/>
    <w:rsid w:val="2DF114BB"/>
    <w:rsid w:val="39C40C73"/>
    <w:rsid w:val="3A7206CF"/>
    <w:rsid w:val="410302D3"/>
    <w:rsid w:val="42460A39"/>
    <w:rsid w:val="44004F9E"/>
    <w:rsid w:val="49A315E5"/>
    <w:rsid w:val="50B27620"/>
    <w:rsid w:val="583A5C97"/>
    <w:rsid w:val="5EA24825"/>
    <w:rsid w:val="6A696B49"/>
    <w:rsid w:val="6AAB6ACB"/>
    <w:rsid w:val="6CCB7647"/>
    <w:rsid w:val="6CE32BE3"/>
    <w:rsid w:val="74EC28F5"/>
    <w:rsid w:val="79AC0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4"/>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11">
    <w:name w:val="Body Text"/>
    <w:basedOn w:val="1"/>
    <w:qFormat/>
    <w:uiPriority w:val="0"/>
    <w:rPr>
      <w:rFonts w:ascii="宋体" w:hAnsi="宋体" w:eastAsia="宋体" w:cs="宋体"/>
      <w:sz w:val="18"/>
      <w:szCs w:val="18"/>
      <w:lang w:eastAsia="en-US"/>
    </w:rPr>
  </w:style>
  <w:style w:type="paragraph" w:styleId="12">
    <w:name w:val="footer"/>
    <w:basedOn w:val="1"/>
    <w:link w:val="38"/>
    <w:unhideWhenUsed/>
    <w:qFormat/>
    <w:uiPriority w:val="99"/>
    <w:pPr>
      <w:tabs>
        <w:tab w:val="center" w:pos="4153"/>
        <w:tab w:val="right" w:pos="8306"/>
      </w:tabs>
      <w:snapToGrid w:val="0"/>
      <w:jc w:val="left"/>
    </w:pPr>
    <w:rPr>
      <w:sz w:val="18"/>
      <w:szCs w:val="18"/>
    </w:rPr>
  </w:style>
  <w:style w:type="paragraph" w:styleId="13">
    <w:name w:val="header"/>
    <w:basedOn w:val="1"/>
    <w:link w:val="37"/>
    <w:unhideWhenUsed/>
    <w:qFormat/>
    <w:uiPriority w:val="99"/>
    <w:pPr>
      <w:tabs>
        <w:tab w:val="center" w:pos="4153"/>
        <w:tab w:val="right" w:pos="8306"/>
      </w:tabs>
      <w:snapToGrid w:val="0"/>
      <w:jc w:val="center"/>
    </w:pPr>
    <w:rPr>
      <w:sz w:val="18"/>
      <w:szCs w:val="18"/>
    </w:rPr>
  </w:style>
  <w:style w:type="paragraph" w:styleId="14">
    <w:name w:val="Subtitle"/>
    <w:basedOn w:val="1"/>
    <w:next w:val="1"/>
    <w:link w:val="29"/>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8"/>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
    <w:name w:val="Heading 1 Char"/>
    <w:basedOn w:val="18"/>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Heading 2 Char"/>
    <w:basedOn w:val="18"/>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Heading 3 Char"/>
    <w:basedOn w:val="18"/>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Heading 4 Char"/>
    <w:basedOn w:val="18"/>
    <w:link w:val="5"/>
    <w:semiHidden/>
    <w:qFormat/>
    <w:uiPriority w:val="9"/>
    <w:rPr>
      <w:rFonts w:cstheme="majorBidi"/>
      <w:color w:val="104862" w:themeColor="accent1" w:themeShade="BF"/>
      <w:sz w:val="28"/>
      <w:szCs w:val="28"/>
    </w:rPr>
  </w:style>
  <w:style w:type="character" w:customStyle="1" w:styleId="23">
    <w:name w:val="Heading 5 Char"/>
    <w:basedOn w:val="18"/>
    <w:link w:val="6"/>
    <w:semiHidden/>
    <w:qFormat/>
    <w:uiPriority w:val="9"/>
    <w:rPr>
      <w:rFonts w:cstheme="majorBidi"/>
      <w:color w:val="104862" w:themeColor="accent1" w:themeShade="BF"/>
      <w:sz w:val="24"/>
      <w:szCs w:val="24"/>
    </w:rPr>
  </w:style>
  <w:style w:type="character" w:customStyle="1" w:styleId="24">
    <w:name w:val="Heading 6 Char"/>
    <w:basedOn w:val="18"/>
    <w:link w:val="7"/>
    <w:semiHidden/>
    <w:qFormat/>
    <w:uiPriority w:val="9"/>
    <w:rPr>
      <w:rFonts w:cstheme="majorBidi"/>
      <w:b/>
      <w:bCs/>
      <w:color w:val="104862" w:themeColor="accent1" w:themeShade="BF"/>
    </w:rPr>
  </w:style>
  <w:style w:type="character" w:customStyle="1" w:styleId="25">
    <w:name w:val="Heading 7 Char"/>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Heading 8 Char"/>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Heading 9 Char"/>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Title Char"/>
    <w:basedOn w:val="18"/>
    <w:link w:val="15"/>
    <w:qFormat/>
    <w:uiPriority w:val="10"/>
    <w:rPr>
      <w:rFonts w:asciiTheme="majorHAnsi" w:hAnsiTheme="majorHAnsi" w:eastAsiaTheme="majorEastAsia" w:cstheme="majorBidi"/>
      <w:spacing w:val="-10"/>
      <w:kern w:val="28"/>
      <w:sz w:val="56"/>
      <w:szCs w:val="56"/>
    </w:rPr>
  </w:style>
  <w:style w:type="character" w:customStyle="1" w:styleId="29">
    <w:name w:val="Subtitle Char"/>
    <w:basedOn w:val="18"/>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Quote Char"/>
    <w:basedOn w:val="18"/>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0"/>
    <w:pPr>
      <w:ind w:left="720"/>
      <w:contextualSpacing/>
    </w:pPr>
  </w:style>
  <w:style w:type="character" w:customStyle="1" w:styleId="33">
    <w:name w:val="Intense Emphasis1"/>
    <w:basedOn w:val="18"/>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Intense Quote Char"/>
    <w:basedOn w:val="18"/>
    <w:link w:val="34"/>
    <w:qFormat/>
    <w:uiPriority w:val="30"/>
    <w:rPr>
      <w:i/>
      <w:iCs/>
      <w:color w:val="104862" w:themeColor="accent1" w:themeShade="BF"/>
    </w:rPr>
  </w:style>
  <w:style w:type="character" w:customStyle="1" w:styleId="36">
    <w:name w:val="Intense Reference1"/>
    <w:basedOn w:val="18"/>
    <w:qFormat/>
    <w:uiPriority w:val="32"/>
    <w:rPr>
      <w:b/>
      <w:bCs/>
      <w:smallCaps/>
      <w:color w:val="104862" w:themeColor="accent1" w:themeShade="BF"/>
      <w:spacing w:val="5"/>
    </w:rPr>
  </w:style>
  <w:style w:type="character" w:customStyle="1" w:styleId="37">
    <w:name w:val="Header Char"/>
    <w:basedOn w:val="18"/>
    <w:link w:val="13"/>
    <w:qFormat/>
    <w:uiPriority w:val="99"/>
    <w:rPr>
      <w:sz w:val="18"/>
      <w:szCs w:val="18"/>
    </w:rPr>
  </w:style>
  <w:style w:type="character" w:customStyle="1" w:styleId="38">
    <w:name w:val="Footer Char"/>
    <w:basedOn w:val="18"/>
    <w:link w:val="12"/>
    <w:qFormat/>
    <w:uiPriority w:val="99"/>
    <w:rPr>
      <w:sz w:val="18"/>
      <w:szCs w:val="18"/>
    </w:rPr>
  </w:style>
  <w:style w:type="paragraph" w:customStyle="1" w:styleId="39">
    <w:name w:val="【平安校园】正文"/>
    <w:basedOn w:val="1"/>
    <w:qFormat/>
    <w:uiPriority w:val="0"/>
    <w:pPr>
      <w:widowControl/>
      <w:shd w:val="clear" w:color="auto" w:fill="FFFFFF"/>
      <w:spacing w:line="560" w:lineRule="exact"/>
      <w:ind w:firstLine="200" w:firstLineChars="200"/>
      <w:jc w:val="left"/>
    </w:pPr>
    <w:rPr>
      <w:rFonts w:ascii="Times New Roman" w:hAnsi="Times New Roman" w:eastAsia="仿宋_GB2312" w:cs="宋体"/>
      <w:color w:val="000000"/>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2133</Words>
  <Characters>2162</Characters>
  <Lines>15</Lines>
  <Paragraphs>4</Paragraphs>
  <TotalTime>3</TotalTime>
  <ScaleCrop>false</ScaleCrop>
  <LinksUpToDate>false</LinksUpToDate>
  <CharactersWithSpaces>2176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2026-06-25T08:58:00Z</dcterms:created>
  <dc:creator>谭皓 Hao TAN</dc:creator>
  <cp:lastModifiedBy>Mr.Tan</cp:lastModifiedBy>
  <dcterms:modified xsi:type="dcterms:W3CDTF">2026-07-28T08:26:26Z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eyJoZGlkIjoiYjVhYWRkZGQwMGNkNTZhMWE0ZjJjZDBiZWM5ZjU1NjkiLCJ1c2VySWQiOiI4MDA5MzIzNTQifQ==</vt:lpwstr>
  </property>
  <property fmtid="{D5CDD505-2E9C-101B-9397-08002B2CF9AE}" pid="3" name="KSOProductBuildVer">
    <vt:lpwstr>2052-12.1.0.26895</vt:lpwstr>
  </property>
  <property fmtid="{D5CDD505-2E9C-101B-9397-08002B2CF9AE}" pid="4" name="ICV">
    <vt:lpwstr>57E209C48B054CAFB97092D9CDD56CCD_12</vt:lpwstr>
  </property>
</Properties>
</file>