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EF43C">
      <w:pPr>
        <w:widowControl/>
        <w:spacing w:line="360" w:lineRule="auto"/>
        <w:jc w:val="center"/>
        <w:rPr>
          <w:rFonts w:ascii="黑体" w:hAnsi="黑体" w:eastAsia="黑体" w:cs="宋体"/>
          <w:b/>
          <w:bCs/>
          <w:color w:val="000000" w:themeColor="text1"/>
          <w:sz w:val="44"/>
          <w:szCs w:val="44"/>
          <w:lang w:val="zh-TW" w:bidi="zh-TW"/>
          <w14:textFill>
            <w14:solidFill>
              <w14:schemeClr w14:val="tx1"/>
            </w14:solidFill>
          </w14:textFill>
        </w:rPr>
      </w:pPr>
      <w:r>
        <w:rPr>
          <w:rFonts w:hint="eastAsia" w:ascii="黑体" w:hAnsi="黑体" w:eastAsia="黑体" w:cs="宋体"/>
          <w:b/>
          <w:bCs/>
          <w:color w:val="000000" w:themeColor="text1"/>
          <w:sz w:val="44"/>
          <w:szCs w:val="44"/>
          <w:lang w:val="zh-TW" w:bidi="zh-TW"/>
          <w14:textFill>
            <w14:solidFill>
              <w14:schemeClr w14:val="tx1"/>
            </w14:solidFill>
          </w14:textFill>
        </w:rPr>
        <w:t>附录3锅炉事故现场处置方案</w:t>
      </w:r>
    </w:p>
    <w:p w14:paraId="7B69610B">
      <w:pPr>
        <w:widowControl/>
        <w:spacing w:line="360" w:lineRule="auto"/>
        <w:jc w:val="center"/>
        <w:rPr>
          <w:rFonts w:ascii="黑体" w:hAnsi="黑体" w:eastAsia="黑体" w:cs="宋体"/>
          <w:b/>
          <w:bCs/>
          <w:color w:val="000000" w:themeColor="text1"/>
          <w:sz w:val="44"/>
          <w:szCs w:val="44"/>
          <w:lang w:val="zh-TW" w:bidi="zh-TW"/>
          <w14:textFill>
            <w14:solidFill>
              <w14:schemeClr w14:val="tx1"/>
            </w14:solidFill>
          </w14:textFill>
        </w:rPr>
      </w:pPr>
    </w:p>
    <w:p w14:paraId="61452A0E">
      <w:pPr>
        <w:widowControl/>
        <w:numPr>
          <w:ilvl w:val="0"/>
          <w:numId w:val="1"/>
        </w:numPr>
        <w:spacing w:line="360" w:lineRule="auto"/>
        <w:ind w:left="0" w:firstLine="0"/>
        <w:jc w:val="left"/>
        <w:rPr>
          <w:rFonts w:eastAsia="黑体"/>
          <w:b/>
          <w:bCs/>
          <w:color w:val="000000" w:themeColor="text1"/>
          <w:sz w:val="32"/>
          <w:szCs w:val="32"/>
          <w:lang w:bidi="ar"/>
          <w14:textFill>
            <w14:solidFill>
              <w14:schemeClr w14:val="tx1"/>
            </w14:solidFill>
          </w14:textFill>
        </w:rPr>
      </w:pPr>
      <w:r>
        <w:rPr>
          <w:rFonts w:hint="eastAsia" w:eastAsia="黑体"/>
          <w:b/>
          <w:bCs/>
          <w:color w:val="000000" w:themeColor="text1"/>
          <w:sz w:val="32"/>
          <w:szCs w:val="32"/>
          <w:lang w:bidi="ar"/>
          <w14:textFill>
            <w14:solidFill>
              <w14:schemeClr w14:val="tx1"/>
            </w14:solidFill>
          </w14:textFill>
        </w:rPr>
        <w:t>事故风险描述</w:t>
      </w:r>
    </w:p>
    <w:p w14:paraId="1543387E">
      <w:pPr>
        <w:widowControl/>
        <w:spacing w:line="360" w:lineRule="auto"/>
        <w:ind w:firstLine="640" w:firstLineChars="200"/>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科研楼内的部分实验室存在天然气锅炉，用于供应实验设备热蒸汽。天然气泄漏可能引发火灾、爆炸；锅炉故障或参数设置错误导致超温超压运行，安全附件（如安全阀、压力表）失效可能导致超压爆炸；燃烧废气（含SO</w:t>
      </w:r>
      <w:r>
        <w:rPr>
          <w:rFonts w:ascii="Cambria Math" w:hAnsi="Cambria Math" w:eastAsia="仿宋" w:cs="Cambria Math"/>
          <w:color w:val="000000" w:themeColor="text1"/>
          <w:sz w:val="32"/>
          <w:szCs w:val="32"/>
          <w14:textFill>
            <w14:solidFill>
              <w14:schemeClr w14:val="tx1"/>
            </w14:solidFill>
          </w14:textFill>
        </w:rPr>
        <w:t>₂</w:t>
      </w:r>
      <w:r>
        <w:rPr>
          <w:rFonts w:ascii="仿宋" w:hAnsi="仿宋" w:eastAsia="仿宋" w:cs="宋体"/>
          <w:color w:val="000000" w:themeColor="text1"/>
          <w:sz w:val="32"/>
          <w:szCs w:val="32"/>
          <w14:textFill>
            <w14:solidFill>
              <w14:schemeClr w14:val="tx1"/>
            </w14:solidFill>
          </w14:textFill>
        </w:rPr>
        <w:t>、NOx、颗粒物）若处理不当可能造成环境污染。水位过高、过低，水垢形成都可能造成安全事故。</w:t>
      </w:r>
    </w:p>
    <w:p w14:paraId="356B537F">
      <w:pPr>
        <w:widowControl/>
        <w:spacing w:line="360" w:lineRule="auto"/>
        <w:ind w:firstLine="640" w:firstLineChars="200"/>
        <w:rPr>
          <w:rFonts w:ascii="仿宋" w:hAnsi="仿宋" w:eastAsia="仿宋" w:cs="宋体"/>
          <w:color w:val="000000" w:themeColor="text1"/>
          <w:sz w:val="32"/>
          <w:szCs w:val="32"/>
          <w:lang w:val="zh-TW"/>
          <w14:textFill>
            <w14:solidFill>
              <w14:schemeClr w14:val="tx1"/>
            </w14:solidFill>
          </w14:textFill>
        </w:rPr>
      </w:pPr>
    </w:p>
    <w:p w14:paraId="0361E63F">
      <w:pPr>
        <w:widowControl/>
        <w:numPr>
          <w:ilvl w:val="0"/>
          <w:numId w:val="1"/>
        </w:numPr>
        <w:spacing w:line="360" w:lineRule="auto"/>
        <w:ind w:left="0" w:firstLine="0"/>
        <w:jc w:val="left"/>
        <w:rPr>
          <w:rFonts w:eastAsia="黑体"/>
          <w:b/>
          <w:bCs/>
          <w:color w:val="000000" w:themeColor="text1"/>
          <w:sz w:val="32"/>
          <w:szCs w:val="32"/>
          <w:lang w:bidi="ar"/>
          <w14:textFill>
            <w14:solidFill>
              <w14:schemeClr w14:val="tx1"/>
            </w14:solidFill>
          </w14:textFill>
        </w:rPr>
      </w:pPr>
      <w:bookmarkStart w:id="0" w:name="OLE_LINK25"/>
      <w:r>
        <w:rPr>
          <w:rFonts w:hint="eastAsia" w:eastAsia="黑体"/>
          <w:b/>
          <w:bCs/>
          <w:color w:val="000000" w:themeColor="text1"/>
          <w:sz w:val="32"/>
          <w:szCs w:val="32"/>
          <w:lang w:bidi="ar"/>
          <w14:textFill>
            <w14:solidFill>
              <w14:schemeClr w14:val="tx1"/>
            </w14:solidFill>
          </w14:textFill>
        </w:rPr>
        <w:t>应急工作职责</w:t>
      </w:r>
    </w:p>
    <w:bookmarkEnd w:id="0"/>
    <w:p w14:paraId="5DCAAEC4">
      <w:pPr>
        <w:pStyle w:val="30"/>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现场指挥</w:t>
      </w:r>
    </w:p>
    <w:p w14:paraId="439F71AA">
      <w:pPr>
        <w:pStyle w:val="30"/>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工作任务及职责：负责现场应急处置的指挥、决策，向上汇报险情，并传达指令。</w:t>
      </w:r>
    </w:p>
    <w:p w14:paraId="56D86624">
      <w:pPr>
        <w:pStyle w:val="30"/>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应急工作组</w:t>
      </w:r>
    </w:p>
    <w:p w14:paraId="46D355AF">
      <w:pPr>
        <w:pStyle w:val="30"/>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根据实际需要迅速开展现场处置、通讯联络、疏散引导、安全警戒、应急救援及后勤保障等各项工作。应急工作组成员与具体职责参考《</w:t>
      </w:r>
      <w:r>
        <w:rPr>
          <w:rFonts w:ascii="仿宋" w:hAnsi="仿宋" w:eastAsia="仿宋" w:cs="宋体"/>
          <w:color w:val="000000" w:themeColor="text1"/>
          <w:sz w:val="32"/>
          <w:szCs w:val="32"/>
          <w:lang w:val="zh-TW"/>
          <w14:textFill>
            <w14:solidFill>
              <w14:schemeClr w14:val="tx1"/>
            </w14:solidFill>
          </w14:textFill>
        </w:rPr>
        <w:t>香港科技大学（广州）实验室特种设备专项应急预案</w:t>
      </w:r>
      <w:r>
        <w:rPr>
          <w:rFonts w:hint="eastAsia" w:ascii="仿宋" w:hAnsi="仿宋" w:eastAsia="仿宋" w:cs="宋体"/>
          <w:color w:val="000000" w:themeColor="text1"/>
          <w:sz w:val="32"/>
          <w:szCs w:val="32"/>
          <w:lang w:val="zh-TW"/>
          <w14:textFill>
            <w14:solidFill>
              <w14:schemeClr w14:val="tx1"/>
            </w14:solidFill>
          </w14:textFill>
        </w:rPr>
        <w:t>》的内容。</w:t>
      </w:r>
    </w:p>
    <w:p w14:paraId="348AF5EA">
      <w:pPr>
        <w:pStyle w:val="30"/>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事发现场人员</w:t>
      </w:r>
    </w:p>
    <w:p w14:paraId="5208D598">
      <w:pPr>
        <w:pStyle w:val="30"/>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根据响应等级进行现场处置或协助应急工作组进行应急救援。</w:t>
      </w:r>
    </w:p>
    <w:p w14:paraId="195A1049">
      <w:pPr>
        <w:widowControl/>
        <w:numPr>
          <w:ilvl w:val="0"/>
          <w:numId w:val="1"/>
        </w:numPr>
        <w:spacing w:line="360" w:lineRule="auto"/>
        <w:ind w:left="0" w:firstLine="0"/>
        <w:jc w:val="left"/>
        <w:rPr>
          <w:rFonts w:ascii="仿宋" w:hAnsi="仿宋" w:eastAsia="仿宋" w:cs="宋体"/>
          <w:color w:val="000000" w:themeColor="text1"/>
          <w:sz w:val="32"/>
          <w:szCs w:val="32"/>
          <w:lang w:val="zh-TW"/>
          <w14:textFill>
            <w14:solidFill>
              <w14:schemeClr w14:val="tx1"/>
            </w14:solidFill>
          </w14:textFill>
        </w:rPr>
      </w:pPr>
      <w:r>
        <w:rPr>
          <w:rFonts w:hint="eastAsia" w:eastAsia="黑体"/>
          <w:b/>
          <w:bCs/>
          <w:color w:val="000000" w:themeColor="text1"/>
          <w:sz w:val="32"/>
          <w:szCs w:val="32"/>
          <w:lang w:bidi="ar"/>
          <w14:textFill>
            <w14:solidFill>
              <w14:schemeClr w14:val="tx1"/>
            </w14:solidFill>
          </w14:textFill>
        </w:rPr>
        <w:t>应急处置</w:t>
      </w:r>
    </w:p>
    <w:p w14:paraId="4C48A0DC">
      <w:pPr>
        <w:widowControl/>
        <w:numPr>
          <w:numId w:val="0"/>
        </w:numPr>
        <w:spacing w:line="360" w:lineRule="auto"/>
        <w:ind w:leftChars="0"/>
        <w:jc w:val="left"/>
        <w:rPr>
          <w:rFonts w:ascii="仿宋" w:hAnsi="仿宋" w:eastAsia="仿宋" w:cs="宋体"/>
          <w:color w:val="000000" w:themeColor="text1"/>
          <w:sz w:val="32"/>
          <w:szCs w:val="32"/>
          <w:lang w:val="zh-TW"/>
          <w14:textFill>
            <w14:solidFill>
              <w14:schemeClr w14:val="tx1"/>
            </w14:solidFill>
          </w14:textFill>
        </w:rPr>
      </w:pPr>
      <w:bookmarkStart w:id="1" w:name="_GoBack"/>
      <w:bookmarkEnd w:id="1"/>
      <w:r>
        <w:rPr>
          <w:rFonts w:hint="eastAsia" w:ascii="仿宋" w:hAnsi="仿宋" w:eastAsia="仿宋" w:cs="宋体"/>
          <w:color w:val="000000" w:themeColor="text1"/>
          <w:sz w:val="32"/>
          <w:szCs w:val="32"/>
          <w:lang w:val="zh-TW"/>
          <w14:textFill>
            <w14:solidFill>
              <w14:schemeClr w14:val="tx1"/>
            </w14:solidFill>
          </w14:textFill>
        </w:rPr>
        <w:t>一级响应</w:t>
      </w:r>
    </w:p>
    <w:p w14:paraId="7583F8A9">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事发现场人员应警示同实验室其他人员立即疏散。</w:t>
      </w:r>
    </w:p>
    <w:p w14:paraId="42070EBE">
      <w:pPr>
        <w:numPr>
          <w:ilvl w:val="0"/>
          <w:numId w:val="3"/>
        </w:numPr>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现场人员在确保自身安全的前提下采取必要的紧急措施，随后移动至安全区域，拨打8833 0110报告给消防控制中心，</w:t>
      </w:r>
      <w:r>
        <w:rPr>
          <w:rFonts w:ascii="仿宋" w:hAnsi="仿宋" w:eastAsia="仿宋" w:cs="宋体"/>
          <w:color w:val="000000" w:themeColor="text1"/>
          <w:sz w:val="32"/>
          <w:szCs w:val="32"/>
          <w14:textFill>
            <w14:solidFill>
              <w14:schemeClr w14:val="tx1"/>
            </w14:solidFill>
          </w14:textFill>
        </w:rPr>
        <w:t>消防控制中心接警后，应立即拨打8833</w:t>
      </w:r>
      <w:r>
        <w:rPr>
          <w:rFonts w:hint="eastAsia" w:ascii="仿宋" w:hAnsi="仿宋" w:eastAsia="仿宋" w:cs="宋体"/>
          <w:color w:val="000000" w:themeColor="text1"/>
          <w:sz w:val="32"/>
          <w:szCs w:val="32"/>
          <w14:textFill>
            <w14:solidFill>
              <w14:schemeClr w14:val="tx1"/>
            </w14:solidFill>
          </w14:textFill>
        </w:rPr>
        <w:t xml:space="preserve"> </w:t>
      </w:r>
      <w:r>
        <w:rPr>
          <w:rFonts w:ascii="仿宋" w:hAnsi="仿宋" w:eastAsia="仿宋" w:cs="宋体"/>
          <w:color w:val="000000" w:themeColor="text1"/>
          <w:sz w:val="32"/>
          <w:szCs w:val="32"/>
          <w14:textFill>
            <w14:solidFill>
              <w14:schemeClr w14:val="tx1"/>
            </w14:solidFill>
          </w14:textFill>
        </w:rPr>
        <w:t>9099报告给实验室健康与安全处，实验室健康与安全处接警后报至实验室安全应急指挥部组长或副组长</w:t>
      </w:r>
      <w:r>
        <w:rPr>
          <w:rFonts w:hint="eastAsia" w:ascii="仿宋" w:hAnsi="仿宋" w:eastAsia="仿宋" w:cs="宋体"/>
          <w:color w:val="000000" w:themeColor="text1"/>
          <w:sz w:val="32"/>
          <w:szCs w:val="32"/>
          <w14:textFill>
            <w14:solidFill>
              <w14:schemeClr w14:val="tx1"/>
            </w14:solidFill>
          </w14:textFill>
        </w:rPr>
        <w:t>。</w:t>
      </w:r>
      <w:r>
        <w:rPr>
          <w:rFonts w:ascii="仿宋" w:hAnsi="仿宋" w:eastAsia="仿宋" w:cs="宋体"/>
          <w:color w:val="000000" w:themeColor="text1"/>
          <w:sz w:val="32"/>
          <w:szCs w:val="32"/>
          <w14:textFill>
            <w14:solidFill>
              <w14:schemeClr w14:val="tx1"/>
            </w14:solidFill>
          </w14:textFill>
        </w:rPr>
        <w:t>实验室安全应急指挥部组长或副组长应根据事态的严重程度，决策是否报告给校园应急指挥部。</w:t>
      </w:r>
    </w:p>
    <w:p w14:paraId="35E29344">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实验室安全应急指挥部组长或副组长</w:t>
      </w:r>
      <w:r>
        <w:rPr>
          <w:rFonts w:hint="eastAsia" w:ascii="仿宋" w:hAnsi="仿宋" w:eastAsia="仿宋" w:cs="宋体"/>
          <w:color w:val="000000" w:themeColor="text1"/>
          <w:sz w:val="32"/>
          <w:szCs w:val="32"/>
          <w14:textFill>
            <w14:solidFill>
              <w14:schemeClr w14:val="tx1"/>
            </w14:solidFill>
          </w14:textFill>
        </w:rPr>
        <w:t>通知各应急小组前往事故现场，成立现场指挥部，对事故处置进行沟通讨论。</w:t>
      </w:r>
    </w:p>
    <w:p w14:paraId="6E2658F0">
      <w:pPr>
        <w:numPr>
          <w:ilvl w:val="0"/>
          <w:numId w:val="3"/>
        </w:numPr>
        <w:rPr>
          <w:rFonts w:ascii="仿宋" w:hAnsi="仿宋" w:eastAsia="仿宋" w:cs="宋体"/>
          <w:bCs/>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由现场处置组对事故现场进行处理，通讯联络组负责</w:t>
      </w:r>
      <w:r>
        <w:rPr>
          <w:rFonts w:ascii="仿宋" w:hAnsi="仿宋" w:eastAsia="仿宋" w:cs="宋体"/>
          <w:bCs/>
          <w:color w:val="000000" w:themeColor="text1"/>
          <w:sz w:val="32"/>
          <w:szCs w:val="32"/>
          <w14:textFill>
            <w14:solidFill>
              <w14:schemeClr w14:val="tx1"/>
            </w14:solidFill>
          </w14:textFill>
        </w:rPr>
        <w:t>现场的通信协调</w:t>
      </w:r>
      <w:r>
        <w:rPr>
          <w:rFonts w:hint="eastAsia" w:ascii="仿宋" w:hAnsi="仿宋" w:eastAsia="仿宋" w:cs="宋体"/>
          <w:bCs/>
          <w:color w:val="000000" w:themeColor="text1"/>
          <w:sz w:val="32"/>
          <w:szCs w:val="32"/>
          <w14:textFill>
            <w14:solidFill>
              <w14:schemeClr w14:val="tx1"/>
            </w14:solidFill>
          </w14:textFill>
        </w:rPr>
        <w:t>，疏散警戒组对</w:t>
      </w:r>
      <w:r>
        <w:rPr>
          <w:rFonts w:ascii="仿宋" w:hAnsi="仿宋" w:eastAsia="仿宋" w:cs="宋体"/>
          <w:bCs/>
          <w:color w:val="000000" w:themeColor="text1"/>
          <w:sz w:val="32"/>
          <w:szCs w:val="32"/>
          <w14:textFill>
            <w14:solidFill>
              <w14:schemeClr w14:val="tx1"/>
            </w14:solidFill>
          </w14:textFill>
        </w:rPr>
        <w:t>受影响区域人员的应急疏散</w:t>
      </w:r>
      <w:r>
        <w:rPr>
          <w:rFonts w:hint="eastAsia" w:ascii="仿宋" w:hAnsi="仿宋" w:eastAsia="仿宋" w:cs="宋体"/>
          <w:bCs/>
          <w:color w:val="000000" w:themeColor="text1"/>
          <w:sz w:val="32"/>
          <w:szCs w:val="32"/>
          <w14:textFill>
            <w14:solidFill>
              <w14:schemeClr w14:val="tx1"/>
            </w14:solidFill>
          </w14:textFill>
        </w:rPr>
        <w:t>，后勤保障组对现场设施进行抢险，医疗救护组对</w:t>
      </w:r>
      <w:r>
        <w:rPr>
          <w:rFonts w:ascii="仿宋" w:hAnsi="仿宋" w:eastAsia="仿宋" w:cs="宋体"/>
          <w:bCs/>
          <w:color w:val="000000" w:themeColor="text1"/>
          <w:sz w:val="32"/>
          <w:szCs w:val="32"/>
          <w14:textFill>
            <w14:solidFill>
              <w14:schemeClr w14:val="tx1"/>
            </w14:solidFill>
          </w14:textFill>
        </w:rPr>
        <w:t>受伤人员进行紧急救护；协调有关医疗机构，对受伤人员实施紧急医疗救援，特别是做好受伤人员的安抚和心理干预工作。</w:t>
      </w:r>
    </w:p>
    <w:p w14:paraId="5075CDCD">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对于不同事故类型的现场处置方式如下：</w:t>
      </w:r>
    </w:p>
    <w:p w14:paraId="50A425AD">
      <w:pPr>
        <w:pStyle w:val="30"/>
        <w:numPr>
          <w:ilvl w:val="1"/>
          <w:numId w:val="1"/>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燃气泄漏</w:t>
      </w:r>
    </w:p>
    <w:p w14:paraId="525EB254">
      <w:pPr>
        <w:pStyle w:val="30"/>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现场人员</w:t>
      </w:r>
      <w:r>
        <w:rPr>
          <w:rFonts w:ascii="仿宋" w:hAnsi="仿宋" w:eastAsia="仿宋" w:cs="宋体"/>
          <w:color w:val="000000" w:themeColor="text1"/>
          <w:sz w:val="32"/>
          <w:szCs w:val="32"/>
          <w:lang w:val="zh-TW"/>
          <w14:textFill>
            <w14:solidFill>
              <w14:schemeClr w14:val="tx1"/>
            </w14:solidFill>
          </w14:textFill>
        </w:rPr>
        <w:t>紧急切断气源，启动防爆风机通风；</w:t>
      </w:r>
    </w:p>
    <w:p w14:paraId="09B9E145">
      <w:pPr>
        <w:pStyle w:val="30"/>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bCs/>
          <w:color w:val="000000" w:themeColor="text1"/>
          <w:sz w:val="32"/>
          <w:szCs w:val="32"/>
          <w14:textFill>
            <w14:solidFill>
              <w14:schemeClr w14:val="tx1"/>
            </w14:solidFill>
          </w14:textFill>
        </w:rPr>
        <w:t>疏散警戒组</w:t>
      </w:r>
      <w:r>
        <w:rPr>
          <w:rFonts w:ascii="仿宋" w:hAnsi="仿宋" w:eastAsia="仿宋" w:cs="宋体"/>
          <w:color w:val="000000" w:themeColor="text1"/>
          <w:sz w:val="32"/>
          <w:szCs w:val="32"/>
          <w:lang w:val="zh-TW"/>
          <w14:textFill>
            <w14:solidFill>
              <w14:schemeClr w14:val="tx1"/>
            </w14:solidFill>
          </w14:textFill>
        </w:rPr>
        <w:t>使用可燃气体检测仪监测浓度，划定警戒区。</w:t>
      </w:r>
    </w:p>
    <w:p w14:paraId="23CD686A">
      <w:pPr>
        <w:pStyle w:val="30"/>
        <w:numPr>
          <w:ilvl w:val="0"/>
          <w:numId w:val="4"/>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注意，如遇法兰处有介质泄漏，严禁任何带压紧固螺栓的行为，应停止流程，完全泄压后再进行维修。</w:t>
      </w:r>
    </w:p>
    <w:p w14:paraId="78A45A3D">
      <w:pPr>
        <w:pStyle w:val="30"/>
        <w:numPr>
          <w:ilvl w:val="1"/>
          <w:numId w:val="1"/>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超压爆炸</w:t>
      </w:r>
    </w:p>
    <w:p w14:paraId="1A2B78BC">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立即停炉，远程关闭进气阀门；疏散周边人员，防止碎片伤害。</w:t>
      </w:r>
    </w:p>
    <w:p w14:paraId="2ADC6A54">
      <w:pPr>
        <w:pStyle w:val="30"/>
        <w:numPr>
          <w:ilvl w:val="1"/>
          <w:numId w:val="1"/>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废气超标排放</w:t>
      </w:r>
    </w:p>
    <w:p w14:paraId="10C3900D">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切换备用锅炉，检修污染治理设施。</w:t>
      </w:r>
    </w:p>
    <w:p w14:paraId="397A0EB3">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（四）</w:t>
      </w:r>
      <w:r>
        <w:rPr>
          <w:rFonts w:ascii="仿宋" w:hAnsi="仿宋" w:eastAsia="仿宋" w:cs="宋体"/>
          <w:color w:val="000000" w:themeColor="text1"/>
          <w:sz w:val="32"/>
          <w:szCs w:val="32"/>
          <w:lang w:val="zh-TW"/>
          <w14:textFill>
            <w14:solidFill>
              <w14:schemeClr w14:val="tx1"/>
            </w14:solidFill>
          </w14:textFill>
        </w:rPr>
        <w:t>缺水事故应急处置措施</w:t>
      </w:r>
    </w:p>
    <w:p w14:paraId="1A92C9EA">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①首先确认锅炉是严重缺水还是轻微缺水。当锅炉的所有直观水位表均看不见水位时，必须立即停炉，停止燃料供应，严禁向锅炉内进水。</w:t>
      </w:r>
    </w:p>
    <w:p w14:paraId="0C58C42B">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对可以进行“叫水”操作的锅炉，立即进行“叫水”操作。“叫水”操作后，水位表出现水位时，可以缓慢地启动锅炉的燃烧设备，使其继续投入使用；经“叫水”操作后，水位表中不出现水位时，严禁再向锅炉内上水，必须紧急停炉。不允许“叫水”操作的锅炉，应紧急停炉。</w:t>
      </w:r>
    </w:p>
    <w:p w14:paraId="446A54E7">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（五）</w:t>
      </w:r>
      <w:r>
        <w:rPr>
          <w:rFonts w:ascii="仿宋" w:hAnsi="仿宋" w:eastAsia="仿宋" w:cs="宋体"/>
          <w:color w:val="000000" w:themeColor="text1"/>
          <w:sz w:val="32"/>
          <w:szCs w:val="32"/>
          <w:lang w:val="zh-TW"/>
          <w14:textFill>
            <w14:solidFill>
              <w14:schemeClr w14:val="tx1"/>
            </w14:solidFill>
          </w14:textFill>
        </w:rPr>
        <w:t>满水事故应急处置措施</w:t>
      </w:r>
    </w:p>
    <w:p w14:paraId="3E47ECFF">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①当锅炉汽压正常，水位高于最高安全水位线，但低于上部可见边缘时，应冲洗水位表，验证水位是否为假水位，并采取措施减少给水，使水位恢复正常。</w:t>
      </w:r>
    </w:p>
    <w:p w14:paraId="685BCCA0">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②水位继续升高时，应开启排污阀和事故放水阀放水。</w:t>
      </w:r>
    </w:p>
    <w:p w14:paraId="24C5F5BC">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（六）</w:t>
      </w:r>
      <w:r>
        <w:rPr>
          <w:rFonts w:ascii="仿宋" w:hAnsi="仿宋" w:eastAsia="仿宋" w:cs="宋体"/>
          <w:color w:val="000000" w:themeColor="text1"/>
          <w:sz w:val="32"/>
          <w:szCs w:val="32"/>
          <w:lang w:val="zh-TW"/>
          <w14:textFill>
            <w14:solidFill>
              <w14:schemeClr w14:val="tx1"/>
            </w14:solidFill>
          </w14:textFill>
        </w:rPr>
        <w:t>汽水共腾事故应急处置措施</w:t>
      </w:r>
    </w:p>
    <w:p w14:paraId="5970FE71">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①减弱燃烧，关小主汽阀，降低负荷。</w:t>
      </w:r>
    </w:p>
    <w:p w14:paraId="5EDE2A63">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②全开锅炉筒表面排污阀，并适当开启定期排污阀，同时加大给水，保持正常水位。造成蒸汽管道水击时，应开启蒸汽管道和分汽缸上的疏水器（阀），将水排出。</w:t>
      </w:r>
    </w:p>
    <w:p w14:paraId="0C0D030A">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③故障排除后，应冲洗水位表，恢复正常运行。如经上述处理后故障仍未排除，应立即停炉。</w:t>
      </w:r>
    </w:p>
    <w:p w14:paraId="6A3A5FC3">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（七）</w:t>
      </w:r>
      <w:r>
        <w:rPr>
          <w:rFonts w:ascii="仿宋" w:hAnsi="仿宋" w:eastAsia="仿宋" w:cs="宋体"/>
          <w:color w:val="000000" w:themeColor="text1"/>
          <w:sz w:val="32"/>
          <w:szCs w:val="32"/>
          <w:lang w:val="zh-TW"/>
          <w14:textFill>
            <w14:solidFill>
              <w14:schemeClr w14:val="tx1"/>
            </w14:solidFill>
          </w14:textFill>
        </w:rPr>
        <w:t>炉管爆破事故应急处置措施</w:t>
      </w:r>
    </w:p>
    <w:p w14:paraId="5C78A078">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①当炉管轻微破裂，能够维持正常水位，事故不再扩大时，可减负荷继续运行，待备用炉启动后，立即停炉检修。</w:t>
      </w:r>
    </w:p>
    <w:p w14:paraId="1AB0F343">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②当炉管严重破裂，不能够维持正常水位、汽压时，应采取紧急停炉措施。此时，引风机不能停，继续给水，尽力维持水位，防止其他管子烧坏。</w:t>
      </w:r>
    </w:p>
    <w:p w14:paraId="117118C0">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（八）</w:t>
      </w:r>
      <w:r>
        <w:rPr>
          <w:rFonts w:ascii="仿宋" w:hAnsi="仿宋" w:eastAsia="仿宋" w:cs="宋体"/>
          <w:color w:val="000000" w:themeColor="text1"/>
          <w:sz w:val="32"/>
          <w:szCs w:val="32"/>
          <w:lang w:val="zh-TW"/>
          <w14:textFill>
            <w14:solidFill>
              <w14:schemeClr w14:val="tx1"/>
            </w14:solidFill>
          </w14:textFill>
        </w:rPr>
        <w:t>锅炉超压事故应急处置措施</w:t>
      </w:r>
    </w:p>
    <w:p w14:paraId="3ACF3533">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①减弱尾气进气量燃烧，如安全阀失灵而不能紧急排气时，可以手动进行排汽。</w:t>
      </w:r>
    </w:p>
    <w:p w14:paraId="3A38A8E3">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②保持水位表正常水位；进行上水和排污，降低炉温。</w:t>
      </w:r>
    </w:p>
    <w:p w14:paraId="2AB3F19F">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（九）</w:t>
      </w:r>
      <w:r>
        <w:rPr>
          <w:rFonts w:ascii="仿宋" w:hAnsi="仿宋" w:eastAsia="仿宋" w:cs="宋体"/>
          <w:color w:val="000000" w:themeColor="text1"/>
          <w:sz w:val="32"/>
          <w:szCs w:val="32"/>
          <w:lang w:val="zh-TW"/>
          <w14:textFill>
            <w14:solidFill>
              <w14:schemeClr w14:val="tx1"/>
            </w14:solidFill>
          </w14:textFill>
        </w:rPr>
        <w:t>锅炉爆炸事故现场处置</w:t>
      </w:r>
    </w:p>
    <w:p w14:paraId="54491C7B">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①发生锅炉爆炸事故时，必须设法躲避爆炸物和高温水、汽，人员在尽可能的情况下迅速撤离事故现场。</w:t>
      </w:r>
    </w:p>
    <w:p w14:paraId="13D66B9C">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②急救之前，救援人员应确定受伤者所在环境是安全的。爆炸停止后，立即查看是否有人员伤亡，如有人员伤亡要本着时间就是生命，先救后治伤，先救重后救轻的原则，对受伤人员实施现场急救措施，并切断锅炉燃料系统、供水系统和与外界连接的蒸汽系统。</w:t>
      </w:r>
    </w:p>
    <w:p w14:paraId="23EAF9BE">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③如有人员烫伤时，快速将伤员撤离现场，面积较小的烫伤可用大量冷水冲洗至少30分钟，保护好烧伤创面，尽量避免污染，有利于以后的院内治疗；面积较大或程度较深的烫伤应以干净的纱布敷盖患部简单包扎，尽快转送医院或拨打120。</w:t>
      </w:r>
    </w:p>
    <w:p w14:paraId="087BBF19">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④如有因爆炸碎片导致对人员造成的物体打击等伤害，立即将伤员撤离到安全地带，用干净纱布或衣物对伤口进行压迫止血和简单包扎；骨折的伤员禁止盲目搬动及拖拽，应使用担架搬运并密切观察伤员生命体征（呼吸、脉搏），然后紧急转送医院或拨打120。</w:t>
      </w:r>
    </w:p>
    <w:p w14:paraId="0E5EEA17">
      <w:pPr>
        <w:pStyle w:val="30"/>
        <w:numPr>
          <w:ilvl w:val="0"/>
          <w:numId w:val="4"/>
        </w:numPr>
        <w:rPr>
          <w:rFonts w:hint="eastAsia"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如在救援过程中有人发生中毒、窒息，立即将伤者撤离到通风良好的安全地带，给予氧气吸入。如受伤人员呼吸和心跳均停止，应立即按心肺复苏法进行就地抢救</w:t>
      </w:r>
      <w:r>
        <w:rPr>
          <w:rFonts w:hint="eastAsia" w:ascii="仿宋" w:hAnsi="仿宋" w:eastAsia="仿宋" w:cs="宋体"/>
          <w:color w:val="000000" w:themeColor="text1"/>
          <w:sz w:val="32"/>
          <w:szCs w:val="32"/>
          <w:lang w:val="zh-TW"/>
          <w14:textFill>
            <w14:solidFill>
              <w14:schemeClr w14:val="tx1"/>
            </w14:solidFill>
          </w14:textFill>
        </w:rPr>
        <w:t>.</w:t>
      </w:r>
    </w:p>
    <w:p w14:paraId="6A473D2F">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⑥在救援过程中，严密勘察房屋及周边建筑物结构是否有变形，防止建筑物坍塌引发次生事故。</w:t>
      </w:r>
    </w:p>
    <w:p w14:paraId="4A032331">
      <w:pPr>
        <w:pStyle w:val="30"/>
        <w:ind w:left="1400"/>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⑦迅速采取封闭、隔离、清洗等措施，做好事故现场清理和设备恢复工作，积极消除危害后果。</w:t>
      </w:r>
    </w:p>
    <w:p w14:paraId="0ECFCD99">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二级响应</w:t>
      </w:r>
    </w:p>
    <w:p w14:paraId="3F8E0C13">
      <w:pPr>
        <w:widowControl/>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立即通知安全管理人员和维保单位到场处理，必要时降低运行负荷或停运</w:t>
      </w:r>
      <w:r>
        <w:rPr>
          <w:rFonts w:hint="eastAsia" w:ascii="仿宋" w:hAnsi="仿宋" w:eastAsia="仿宋" w:cs="宋体"/>
          <w:color w:val="000000" w:themeColor="text1"/>
          <w:sz w:val="32"/>
          <w:szCs w:val="32"/>
          <w14:textFill>
            <w14:solidFill>
              <w14:schemeClr w14:val="tx1"/>
            </w14:solidFill>
          </w14:textFill>
        </w:rPr>
        <w:t>。</w:t>
      </w:r>
    </w:p>
    <w:p w14:paraId="077A3A77">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三级响应</w:t>
      </w:r>
    </w:p>
    <w:p w14:paraId="55B6EF8E">
      <w:pPr>
        <w:widowControl/>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加强巡检频次，通知安全管理人员，做好应急准备</w:t>
      </w:r>
    </w:p>
    <w:p w14:paraId="4BC2E149">
      <w:pPr>
        <w:widowControl/>
        <w:spacing w:line="360" w:lineRule="auto"/>
        <w:jc w:val="left"/>
        <w:rPr>
          <w:rFonts w:ascii="仿宋" w:hAnsi="仿宋" w:eastAsia="仿宋" w:cs="宋体"/>
          <w:color w:val="000000" w:themeColor="text1"/>
          <w:sz w:val="32"/>
          <w:szCs w:val="32"/>
          <w14:textFill>
            <w14:solidFill>
              <w14:schemeClr w14:val="tx1"/>
            </w14:solidFill>
          </w14:textFill>
        </w:rPr>
      </w:pPr>
    </w:p>
    <w:p w14:paraId="2CA31570">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p>
    <w:p w14:paraId="33A4C247">
      <w:pPr>
        <w:rPr>
          <w:rFonts w:ascii="仿宋" w:hAnsi="仿宋" w:eastAsia="仿宋" w:cs="宋体"/>
          <w:color w:val="000000" w:themeColor="text1"/>
          <w:sz w:val="32"/>
          <w:szCs w:val="32"/>
          <w:lang w:val="zh-TW"/>
          <w14:textFill>
            <w14:solidFill>
              <w14:schemeClr w14:val="tx1"/>
            </w14:solidFill>
          </w14:textFill>
        </w:rPr>
      </w:pPr>
    </w:p>
    <w:p w14:paraId="66D0F8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434DE"/>
    <w:multiLevelType w:val="multilevel"/>
    <w:tmpl w:val="0EC434DE"/>
    <w:lvl w:ilvl="0" w:tentative="0">
      <w:start w:val="1"/>
      <w:numFmt w:val="decimalEnclosedCircle"/>
      <w:lvlText w:val="%1"/>
      <w:lvlJc w:val="left"/>
      <w:pPr>
        <w:ind w:left="1760" w:hanging="360"/>
      </w:pPr>
      <w:rPr>
        <w:rFonts w:hint="default"/>
      </w:rPr>
    </w:lvl>
    <w:lvl w:ilvl="1" w:tentative="0">
      <w:start w:val="1"/>
      <w:numFmt w:val="lowerLetter"/>
      <w:lvlText w:val="%2)"/>
      <w:lvlJc w:val="left"/>
      <w:pPr>
        <w:ind w:left="2280" w:hanging="440"/>
      </w:pPr>
    </w:lvl>
    <w:lvl w:ilvl="2" w:tentative="0">
      <w:start w:val="1"/>
      <w:numFmt w:val="lowerRoman"/>
      <w:lvlText w:val="%3."/>
      <w:lvlJc w:val="right"/>
      <w:pPr>
        <w:ind w:left="2720" w:hanging="440"/>
      </w:pPr>
    </w:lvl>
    <w:lvl w:ilvl="3" w:tentative="0">
      <w:start w:val="1"/>
      <w:numFmt w:val="decimal"/>
      <w:lvlText w:val="%4."/>
      <w:lvlJc w:val="left"/>
      <w:pPr>
        <w:ind w:left="3160" w:hanging="440"/>
      </w:pPr>
    </w:lvl>
    <w:lvl w:ilvl="4" w:tentative="0">
      <w:start w:val="1"/>
      <w:numFmt w:val="lowerLetter"/>
      <w:lvlText w:val="%5)"/>
      <w:lvlJc w:val="left"/>
      <w:pPr>
        <w:ind w:left="3600" w:hanging="440"/>
      </w:pPr>
    </w:lvl>
    <w:lvl w:ilvl="5" w:tentative="0">
      <w:start w:val="1"/>
      <w:numFmt w:val="lowerRoman"/>
      <w:lvlText w:val="%6."/>
      <w:lvlJc w:val="right"/>
      <w:pPr>
        <w:ind w:left="4040" w:hanging="440"/>
      </w:pPr>
    </w:lvl>
    <w:lvl w:ilvl="6" w:tentative="0">
      <w:start w:val="1"/>
      <w:numFmt w:val="decimal"/>
      <w:lvlText w:val="%7."/>
      <w:lvlJc w:val="left"/>
      <w:pPr>
        <w:ind w:left="4480" w:hanging="440"/>
      </w:pPr>
    </w:lvl>
    <w:lvl w:ilvl="7" w:tentative="0">
      <w:start w:val="1"/>
      <w:numFmt w:val="lowerLetter"/>
      <w:lvlText w:val="%8)"/>
      <w:lvlJc w:val="left"/>
      <w:pPr>
        <w:ind w:left="4920" w:hanging="440"/>
      </w:pPr>
    </w:lvl>
    <w:lvl w:ilvl="8" w:tentative="0">
      <w:start w:val="1"/>
      <w:numFmt w:val="lowerRoman"/>
      <w:lvlText w:val="%9."/>
      <w:lvlJc w:val="right"/>
      <w:pPr>
        <w:ind w:left="5360" w:hanging="440"/>
      </w:pPr>
    </w:lvl>
  </w:abstractNum>
  <w:abstractNum w:abstractNumId="1">
    <w:nsid w:val="11A51C2D"/>
    <w:multiLevelType w:val="multilevel"/>
    <w:tmpl w:val="11A51C2D"/>
    <w:lvl w:ilvl="0" w:tentative="0">
      <w:start w:val="1"/>
      <w:numFmt w:val="chineseCountingThousand"/>
      <w:lvlText w:val="%1、"/>
      <w:lvlJc w:val="left"/>
      <w:pPr>
        <w:ind w:left="440" w:hanging="440"/>
      </w:pPr>
    </w:lvl>
    <w:lvl w:ilvl="1" w:tentative="0">
      <w:start w:val="1"/>
      <w:numFmt w:val="japaneseCounting"/>
      <w:lvlText w:val="（%2）"/>
      <w:lvlJc w:val="left"/>
      <w:pPr>
        <w:ind w:left="1400" w:hanging="960"/>
      </w:pPr>
      <w:rPr>
        <w:rFonts w:hint="default"/>
      </w:rPr>
    </w:lvl>
    <w:lvl w:ilvl="2" w:tentative="0">
      <w:start w:val="1"/>
      <w:numFmt w:val="japaneseCounting"/>
      <w:lvlText w:val="(%3)"/>
      <w:lvlJc w:val="left"/>
      <w:pPr>
        <w:ind w:left="1600" w:hanging="72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F210516"/>
    <w:multiLevelType w:val="multilevel"/>
    <w:tmpl w:val="3F210516"/>
    <w:lvl w:ilvl="0" w:tentative="0">
      <w:start w:val="1"/>
      <w:numFmt w:val="decimal"/>
      <w:lvlText w:val="%1."/>
      <w:lvlJc w:val="left"/>
      <w:pPr>
        <w:ind w:left="440" w:hanging="440"/>
      </w:pPr>
      <w:rPr>
        <w:rFonts w:hint="eastAsia"/>
      </w:rPr>
    </w:lvl>
    <w:lvl w:ilvl="1" w:tentative="0">
      <w:start w:val="2"/>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D0A2B5F"/>
    <w:multiLevelType w:val="multilevel"/>
    <w:tmpl w:val="7D0A2B5F"/>
    <w:lvl w:ilvl="0" w:tentative="0">
      <w:start w:val="1"/>
      <w:numFmt w:val="decimal"/>
      <w:lvlText w:val="%1."/>
      <w:lvlJc w:val="left"/>
      <w:pPr>
        <w:ind w:left="440" w:hanging="440"/>
      </w:pPr>
      <w:rPr>
        <w:rFonts w:hint="default" w:ascii="Times New Roman" w:hAnsi="Times New Roman" w:cs="Times New Roman"/>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FA"/>
    <w:rsid w:val="00091269"/>
    <w:rsid w:val="000F7D96"/>
    <w:rsid w:val="001A0C60"/>
    <w:rsid w:val="001C2D74"/>
    <w:rsid w:val="002502D0"/>
    <w:rsid w:val="00294D06"/>
    <w:rsid w:val="002F6C78"/>
    <w:rsid w:val="00511E90"/>
    <w:rsid w:val="00572491"/>
    <w:rsid w:val="006A1DB1"/>
    <w:rsid w:val="0072311E"/>
    <w:rsid w:val="008E786E"/>
    <w:rsid w:val="009A44B9"/>
    <w:rsid w:val="00A10FA3"/>
    <w:rsid w:val="00A75D8C"/>
    <w:rsid w:val="00B40B05"/>
    <w:rsid w:val="00C435FA"/>
    <w:rsid w:val="00CB78E3"/>
    <w:rsid w:val="00CC7DB4"/>
    <w:rsid w:val="00D26885"/>
    <w:rsid w:val="00E57BF0"/>
    <w:rsid w:val="00F51D7E"/>
    <w:rsid w:val="00F71791"/>
    <w:rsid w:val="00F73BD4"/>
    <w:rsid w:val="00FE2BCB"/>
    <w:rsid w:val="34520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Heading 1 Char"/>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Heading 2 Char"/>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Heading 3 Char"/>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Heading 4 Char"/>
    <w:basedOn w:val="16"/>
    <w:link w:val="5"/>
    <w:semiHidden/>
    <w:uiPriority w:val="9"/>
    <w:rPr>
      <w:rFonts w:cstheme="majorBidi"/>
      <w:color w:val="104862" w:themeColor="accent1" w:themeShade="BF"/>
      <w:sz w:val="28"/>
      <w:szCs w:val="28"/>
    </w:rPr>
  </w:style>
  <w:style w:type="character" w:customStyle="1" w:styleId="21">
    <w:name w:val="Heading 5 Char"/>
    <w:basedOn w:val="16"/>
    <w:link w:val="6"/>
    <w:semiHidden/>
    <w:uiPriority w:val="9"/>
    <w:rPr>
      <w:rFonts w:cstheme="majorBidi"/>
      <w:color w:val="104862" w:themeColor="accent1" w:themeShade="BF"/>
      <w:sz w:val="24"/>
      <w:szCs w:val="24"/>
    </w:rPr>
  </w:style>
  <w:style w:type="character" w:customStyle="1" w:styleId="22">
    <w:name w:val="Heading 6 Char"/>
    <w:basedOn w:val="16"/>
    <w:link w:val="7"/>
    <w:semiHidden/>
    <w:qFormat/>
    <w:uiPriority w:val="9"/>
    <w:rPr>
      <w:rFonts w:cstheme="majorBidi"/>
      <w:b/>
      <w:bCs/>
      <w:color w:val="104862" w:themeColor="accent1" w:themeShade="BF"/>
    </w:rPr>
  </w:style>
  <w:style w:type="character" w:customStyle="1" w:styleId="23">
    <w:name w:val="Heading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Heading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Heading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0"/>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Header Char"/>
    <w:basedOn w:val="16"/>
    <w:link w:val="12"/>
    <w:uiPriority w:val="99"/>
    <w:rPr>
      <w:sz w:val="18"/>
      <w:szCs w:val="18"/>
    </w:rPr>
  </w:style>
  <w:style w:type="character" w:customStyle="1" w:styleId="36">
    <w:name w:val="Footer Char"/>
    <w:basedOn w:val="16"/>
    <w:link w:val="11"/>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2126</Words>
  <Characters>2147</Characters>
  <Lines>15</Lines>
  <Paragraphs>4</Paragraphs>
  <TotalTime>62</TotalTime>
  <ScaleCrop>false</ScaleCrop>
  <LinksUpToDate>false</LinksUpToDate>
  <CharactersWithSpaces>2149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2026-06-25T08:58:00Z</dcterms:created>
  <dc:creator>谭皓 Hao TAN</dc:creator>
  <cp:lastModifiedBy>Mr.Tan</cp:lastModifiedBy>
  <dcterms:modified xsi:type="dcterms:W3CDTF">2026-07-27T08:09:52Z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eyJoZGlkIjoiYjVhYWRkZGQwMGNkNTZhMWE0ZjJjZDBiZWM5ZjU1NjkiLCJ1c2VySWQiOiI4MDA5MzIzNTQifQ==</vt:lpwstr>
  </property>
  <property fmtid="{D5CDD505-2E9C-101B-9397-08002B2CF9AE}" pid="3" name="KSOProductBuildVer">
    <vt:lpwstr>2052-12.1.0.26895</vt:lpwstr>
  </property>
  <property fmtid="{D5CDD505-2E9C-101B-9397-08002B2CF9AE}" pid="4" name="ICV">
    <vt:lpwstr>82FC4C9661814AC88EEA1D8BE76F7DAD_12</vt:lpwstr>
  </property>
</Properties>
</file>